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1E79A" w14:textId="77777777" w:rsidR="00DF4FF0" w:rsidRPr="00CA13A7" w:rsidRDefault="00000000">
      <w:pPr>
        <w:pBdr>
          <w:top w:val="nil"/>
          <w:left w:val="nil"/>
          <w:bottom w:val="nil"/>
          <w:right w:val="nil"/>
          <w:between w:val="nil"/>
        </w:pBdr>
        <w:spacing w:before="240"/>
        <w:jc w:val="center"/>
        <w:rPr>
          <w:i/>
          <w:color w:val="000000"/>
          <w:sz w:val="20"/>
          <w:szCs w:val="20"/>
          <w:lang w:val="pt-BR"/>
        </w:rPr>
      </w:pPr>
      <w:r w:rsidRPr="00CA13A7">
        <w:rPr>
          <w:i/>
          <w:color w:val="000000"/>
          <w:sz w:val="20"/>
          <w:szCs w:val="20"/>
          <w:lang w:val="pt-BR"/>
        </w:rPr>
        <w:t>Artigo</w:t>
      </w:r>
    </w:p>
    <w:p w14:paraId="2041E79B" w14:textId="77777777" w:rsidR="00DF4FF0" w:rsidRPr="00CA13A7" w:rsidRDefault="00000000">
      <w:pPr>
        <w:pBdr>
          <w:top w:val="nil"/>
          <w:left w:val="nil"/>
          <w:bottom w:val="nil"/>
          <w:right w:val="nil"/>
          <w:between w:val="nil"/>
        </w:pBdr>
        <w:spacing w:after="240"/>
        <w:jc w:val="center"/>
        <w:rPr>
          <w:b/>
          <w:color w:val="000000"/>
          <w:sz w:val="36"/>
          <w:szCs w:val="36"/>
          <w:lang w:val="pt-BR"/>
        </w:rPr>
      </w:pPr>
      <w:r w:rsidRPr="00CA13A7">
        <w:rPr>
          <w:b/>
          <w:sz w:val="36"/>
          <w:szCs w:val="36"/>
          <w:lang w:val="pt-BR"/>
        </w:rPr>
        <w:t>Panorama dos instrumentos regulatórios do Hidrogênio Verde no Brasil</w:t>
      </w:r>
    </w:p>
    <w:p w14:paraId="2041E79C" w14:textId="77777777" w:rsidR="00DF4FF0" w:rsidRPr="00CA13A7" w:rsidRDefault="00000000">
      <w:pPr>
        <w:pBdr>
          <w:top w:val="nil"/>
          <w:left w:val="nil"/>
          <w:bottom w:val="nil"/>
          <w:right w:val="nil"/>
          <w:between w:val="nil"/>
        </w:pBdr>
        <w:spacing w:after="120"/>
        <w:jc w:val="center"/>
        <w:rPr>
          <w:b/>
          <w:color w:val="000000"/>
          <w:sz w:val="20"/>
          <w:szCs w:val="20"/>
          <w:lang w:val="pt-BR"/>
        </w:rPr>
      </w:pPr>
      <w:r w:rsidRPr="00CA13A7">
        <w:rPr>
          <w:b/>
          <w:sz w:val="20"/>
          <w:szCs w:val="20"/>
          <w:lang w:val="pt-BR"/>
        </w:rPr>
        <w:t>Abdiel Jônatas Alves da Silva</w:t>
      </w:r>
      <w:r w:rsidRPr="00CA13A7">
        <w:rPr>
          <w:b/>
          <w:color w:val="000000"/>
          <w:sz w:val="20"/>
          <w:szCs w:val="20"/>
          <w:lang w:val="pt-BR"/>
        </w:rPr>
        <w:t xml:space="preserve"> </w:t>
      </w:r>
      <w:r w:rsidRPr="00CA13A7">
        <w:rPr>
          <w:b/>
          <w:color w:val="000000"/>
          <w:sz w:val="20"/>
          <w:szCs w:val="20"/>
          <w:vertAlign w:val="superscript"/>
          <w:lang w:val="pt-BR"/>
        </w:rPr>
        <w:t>[1]</w:t>
      </w:r>
      <w:r w:rsidRPr="00CA13A7">
        <w:rPr>
          <w:b/>
          <w:color w:val="000000"/>
          <w:sz w:val="20"/>
          <w:szCs w:val="20"/>
          <w:lang w:val="pt-BR"/>
        </w:rPr>
        <w:t xml:space="preserve">, Lara Carla Freitas Rodrigues </w:t>
      </w:r>
      <w:r w:rsidRPr="00CA13A7">
        <w:rPr>
          <w:b/>
          <w:color w:val="000000"/>
          <w:sz w:val="20"/>
          <w:szCs w:val="20"/>
          <w:vertAlign w:val="superscript"/>
          <w:lang w:val="pt-BR"/>
        </w:rPr>
        <w:t>[2]</w:t>
      </w:r>
      <w:r w:rsidRPr="00CA13A7">
        <w:rPr>
          <w:b/>
          <w:sz w:val="20"/>
          <w:szCs w:val="20"/>
          <w:lang w:val="pt-BR"/>
        </w:rPr>
        <w:t xml:space="preserve">, </w:t>
      </w:r>
      <w:proofErr w:type="spellStart"/>
      <w:r w:rsidRPr="00CA13A7">
        <w:rPr>
          <w:b/>
          <w:sz w:val="20"/>
          <w:szCs w:val="20"/>
          <w:lang w:val="pt-BR"/>
        </w:rPr>
        <w:t>Mirelli</w:t>
      </w:r>
      <w:proofErr w:type="spellEnd"/>
      <w:r w:rsidRPr="00CA13A7">
        <w:rPr>
          <w:b/>
          <w:sz w:val="20"/>
          <w:szCs w:val="20"/>
          <w:lang w:val="pt-BR"/>
        </w:rPr>
        <w:t xml:space="preserve"> Soares da Silva </w:t>
      </w:r>
      <w:r w:rsidRPr="00CA13A7">
        <w:rPr>
          <w:b/>
          <w:sz w:val="20"/>
          <w:szCs w:val="20"/>
          <w:vertAlign w:val="superscript"/>
          <w:lang w:val="pt-BR"/>
        </w:rPr>
        <w:t>[3]</w:t>
      </w:r>
      <w:r w:rsidRPr="00CA13A7">
        <w:rPr>
          <w:b/>
          <w:sz w:val="20"/>
          <w:szCs w:val="20"/>
          <w:lang w:val="pt-BR"/>
        </w:rPr>
        <w:t xml:space="preserve">, Paulo Danton Félix da Costa </w:t>
      </w:r>
      <w:r w:rsidRPr="00CA13A7">
        <w:rPr>
          <w:b/>
          <w:sz w:val="20"/>
          <w:szCs w:val="20"/>
          <w:vertAlign w:val="superscript"/>
          <w:lang w:val="pt-BR"/>
        </w:rPr>
        <w:t>[4]</w:t>
      </w:r>
      <w:r w:rsidRPr="00CA13A7">
        <w:rPr>
          <w:b/>
          <w:sz w:val="20"/>
          <w:szCs w:val="20"/>
          <w:lang w:val="pt-BR"/>
        </w:rPr>
        <w:t xml:space="preserve">, Pedro Victor de Sousa Albuquerque </w:t>
      </w:r>
      <w:r w:rsidRPr="00CA13A7">
        <w:rPr>
          <w:b/>
          <w:sz w:val="20"/>
          <w:szCs w:val="20"/>
          <w:vertAlign w:val="superscript"/>
          <w:lang w:val="pt-BR"/>
        </w:rPr>
        <w:t>[5]</w:t>
      </w:r>
      <w:r w:rsidRPr="00CA13A7">
        <w:rPr>
          <w:b/>
          <w:sz w:val="20"/>
          <w:szCs w:val="20"/>
          <w:lang w:val="pt-BR"/>
        </w:rPr>
        <w:t xml:space="preserve">, </w:t>
      </w:r>
      <w:proofErr w:type="spellStart"/>
      <w:r w:rsidRPr="00CA13A7">
        <w:rPr>
          <w:b/>
          <w:sz w:val="20"/>
          <w:szCs w:val="20"/>
          <w:lang w:val="pt-BR"/>
        </w:rPr>
        <w:t>Thamyrys</w:t>
      </w:r>
      <w:proofErr w:type="spellEnd"/>
      <w:r w:rsidRPr="00CA13A7">
        <w:rPr>
          <w:b/>
          <w:sz w:val="20"/>
          <w:szCs w:val="20"/>
          <w:lang w:val="pt-BR"/>
        </w:rPr>
        <w:t xml:space="preserve"> Marques Azevedo </w:t>
      </w:r>
      <w:r w:rsidRPr="00CA13A7">
        <w:rPr>
          <w:b/>
          <w:sz w:val="20"/>
          <w:szCs w:val="20"/>
          <w:vertAlign w:val="superscript"/>
          <w:lang w:val="pt-BR"/>
        </w:rPr>
        <w:t>[6]</w:t>
      </w:r>
      <w:r w:rsidRPr="00CA13A7">
        <w:rPr>
          <w:b/>
          <w:color w:val="000000"/>
          <w:sz w:val="20"/>
          <w:szCs w:val="20"/>
          <w:lang w:val="pt-BR"/>
        </w:rPr>
        <w:t xml:space="preserve">e Fabiana Karla de Oliveira Martins Varella </w:t>
      </w:r>
      <w:r w:rsidRPr="00CA13A7">
        <w:rPr>
          <w:b/>
          <w:color w:val="000000"/>
          <w:sz w:val="20"/>
          <w:szCs w:val="20"/>
          <w:vertAlign w:val="superscript"/>
          <w:lang w:val="pt-BR"/>
        </w:rPr>
        <w:t>[</w:t>
      </w:r>
      <w:r w:rsidRPr="00CA13A7">
        <w:rPr>
          <w:b/>
          <w:sz w:val="20"/>
          <w:szCs w:val="20"/>
          <w:vertAlign w:val="superscript"/>
          <w:lang w:val="pt-BR"/>
        </w:rPr>
        <w:t>7</w:t>
      </w:r>
      <w:r w:rsidRPr="00CA13A7">
        <w:rPr>
          <w:b/>
          <w:color w:val="000000"/>
          <w:sz w:val="20"/>
          <w:szCs w:val="20"/>
          <w:vertAlign w:val="superscript"/>
          <w:lang w:val="pt-BR"/>
        </w:rPr>
        <w:t>]</w:t>
      </w:r>
    </w:p>
    <w:p w14:paraId="2041E79D" w14:textId="77777777" w:rsidR="00DF4FF0" w:rsidRPr="00CA13A7" w:rsidRDefault="00000000">
      <w:pPr>
        <w:pBdr>
          <w:top w:val="nil"/>
          <w:left w:val="nil"/>
          <w:bottom w:val="nil"/>
          <w:right w:val="nil"/>
          <w:between w:val="nil"/>
        </w:pBdr>
        <w:ind w:left="311" w:hanging="198"/>
        <w:jc w:val="left"/>
        <w:rPr>
          <w:color w:val="000000"/>
          <w:sz w:val="18"/>
          <w:szCs w:val="18"/>
          <w:lang w:val="pt-BR"/>
        </w:rPr>
      </w:pPr>
      <w:r w:rsidRPr="00CA13A7">
        <w:rPr>
          <w:color w:val="000000"/>
          <w:sz w:val="18"/>
          <w:szCs w:val="18"/>
          <w:vertAlign w:val="superscript"/>
          <w:lang w:val="pt-BR"/>
        </w:rPr>
        <w:t>[1]</w:t>
      </w:r>
      <w:r w:rsidRPr="00CA13A7">
        <w:rPr>
          <w:color w:val="000000"/>
          <w:sz w:val="18"/>
          <w:szCs w:val="18"/>
          <w:lang w:val="pt-BR"/>
        </w:rPr>
        <w:tab/>
        <w:t xml:space="preserve">Universidade Federal Rural do </w:t>
      </w:r>
      <w:proofErr w:type="spellStart"/>
      <w:r w:rsidRPr="00CA13A7">
        <w:rPr>
          <w:color w:val="000000"/>
          <w:sz w:val="18"/>
          <w:szCs w:val="18"/>
          <w:lang w:val="pt-BR"/>
        </w:rPr>
        <w:t>Semi-Árido</w:t>
      </w:r>
      <w:proofErr w:type="spellEnd"/>
      <w:r w:rsidRPr="00CA13A7">
        <w:rPr>
          <w:color w:val="000000"/>
          <w:sz w:val="18"/>
          <w:szCs w:val="18"/>
          <w:lang w:val="pt-BR"/>
        </w:rPr>
        <w:t>; abdiel.silva@alunos.ufersa.edu.br</w:t>
      </w:r>
    </w:p>
    <w:p w14:paraId="2041E79E" w14:textId="77777777" w:rsidR="00DF4FF0" w:rsidRPr="00CA13A7" w:rsidRDefault="00000000">
      <w:pPr>
        <w:pBdr>
          <w:top w:val="nil"/>
          <w:left w:val="nil"/>
          <w:bottom w:val="nil"/>
          <w:right w:val="nil"/>
          <w:between w:val="nil"/>
        </w:pBdr>
        <w:ind w:left="311" w:hanging="198"/>
        <w:jc w:val="left"/>
        <w:rPr>
          <w:color w:val="000000"/>
          <w:sz w:val="18"/>
          <w:szCs w:val="18"/>
          <w:lang w:val="pt-BR"/>
        </w:rPr>
      </w:pPr>
      <w:r w:rsidRPr="00CA13A7">
        <w:rPr>
          <w:color w:val="000000"/>
          <w:sz w:val="18"/>
          <w:szCs w:val="18"/>
          <w:vertAlign w:val="superscript"/>
          <w:lang w:val="pt-BR"/>
        </w:rPr>
        <w:t>[2]</w:t>
      </w:r>
      <w:r w:rsidRPr="00CA13A7">
        <w:rPr>
          <w:color w:val="000000"/>
          <w:sz w:val="18"/>
          <w:szCs w:val="18"/>
          <w:lang w:val="pt-BR"/>
        </w:rPr>
        <w:tab/>
        <w:t xml:space="preserve">Universidade </w:t>
      </w:r>
      <w:r w:rsidRPr="00CA13A7">
        <w:rPr>
          <w:sz w:val="18"/>
          <w:szCs w:val="18"/>
          <w:lang w:val="pt-BR"/>
        </w:rPr>
        <w:t xml:space="preserve">Federal Rural do </w:t>
      </w:r>
      <w:proofErr w:type="spellStart"/>
      <w:r w:rsidRPr="00CA13A7">
        <w:rPr>
          <w:sz w:val="18"/>
          <w:szCs w:val="18"/>
          <w:lang w:val="pt-BR"/>
        </w:rPr>
        <w:t>Semi-Árido</w:t>
      </w:r>
      <w:proofErr w:type="spellEnd"/>
      <w:r w:rsidRPr="00CA13A7">
        <w:rPr>
          <w:color w:val="000000"/>
          <w:sz w:val="18"/>
          <w:szCs w:val="18"/>
          <w:lang w:val="pt-BR"/>
        </w:rPr>
        <w:t xml:space="preserve">; </w:t>
      </w:r>
      <w:r w:rsidRPr="00CA13A7">
        <w:rPr>
          <w:sz w:val="18"/>
          <w:szCs w:val="18"/>
          <w:lang w:val="pt-BR"/>
        </w:rPr>
        <w:t>lara.rodrigues@alunos.ufersa.edu.br</w:t>
      </w:r>
    </w:p>
    <w:p w14:paraId="2041E79F" w14:textId="77777777" w:rsidR="00DF4FF0" w:rsidRPr="00CA13A7" w:rsidRDefault="00000000">
      <w:pPr>
        <w:pBdr>
          <w:top w:val="nil"/>
          <w:left w:val="nil"/>
          <w:bottom w:val="nil"/>
          <w:right w:val="nil"/>
          <w:between w:val="nil"/>
        </w:pBdr>
        <w:ind w:left="311" w:hanging="198"/>
        <w:jc w:val="left"/>
        <w:rPr>
          <w:sz w:val="18"/>
          <w:szCs w:val="18"/>
          <w:lang w:val="pt-BR"/>
        </w:rPr>
      </w:pPr>
      <w:r w:rsidRPr="00CA13A7">
        <w:rPr>
          <w:color w:val="000000"/>
          <w:sz w:val="18"/>
          <w:szCs w:val="18"/>
          <w:vertAlign w:val="superscript"/>
          <w:lang w:val="pt-BR"/>
        </w:rPr>
        <w:t>[3]</w:t>
      </w:r>
      <w:r w:rsidRPr="00CA13A7">
        <w:rPr>
          <w:color w:val="000000"/>
          <w:sz w:val="18"/>
          <w:szCs w:val="18"/>
          <w:lang w:val="pt-BR"/>
        </w:rPr>
        <w:tab/>
        <w:t xml:space="preserve">Universidade </w:t>
      </w:r>
      <w:r w:rsidRPr="00CA13A7">
        <w:rPr>
          <w:sz w:val="18"/>
          <w:szCs w:val="18"/>
          <w:lang w:val="pt-BR"/>
        </w:rPr>
        <w:t xml:space="preserve">Federal Rural do </w:t>
      </w:r>
      <w:proofErr w:type="spellStart"/>
      <w:r w:rsidRPr="00CA13A7">
        <w:rPr>
          <w:sz w:val="18"/>
          <w:szCs w:val="18"/>
          <w:lang w:val="pt-BR"/>
        </w:rPr>
        <w:t>Semi-Árido</w:t>
      </w:r>
      <w:proofErr w:type="spellEnd"/>
      <w:r w:rsidRPr="00CA13A7">
        <w:rPr>
          <w:color w:val="000000"/>
          <w:sz w:val="18"/>
          <w:szCs w:val="18"/>
          <w:lang w:val="pt-BR"/>
        </w:rPr>
        <w:t xml:space="preserve">; </w:t>
      </w:r>
      <w:hyperlink r:id="rId7">
        <w:r w:rsidR="00DF4FF0" w:rsidRPr="00CA13A7">
          <w:rPr>
            <w:sz w:val="18"/>
            <w:szCs w:val="18"/>
            <w:lang w:val="pt-BR"/>
          </w:rPr>
          <w:t>mirelli.silva@alunos.ufersa.edu.br</w:t>
        </w:r>
      </w:hyperlink>
    </w:p>
    <w:p w14:paraId="2041E7A0" w14:textId="77777777" w:rsidR="00DF4FF0" w:rsidRPr="00CA13A7" w:rsidRDefault="00000000">
      <w:pPr>
        <w:ind w:left="311" w:hanging="198"/>
        <w:jc w:val="left"/>
        <w:rPr>
          <w:sz w:val="18"/>
          <w:szCs w:val="18"/>
          <w:lang w:val="pt-BR"/>
        </w:rPr>
      </w:pPr>
      <w:r w:rsidRPr="00CA13A7">
        <w:rPr>
          <w:sz w:val="18"/>
          <w:szCs w:val="18"/>
          <w:vertAlign w:val="superscript"/>
          <w:lang w:val="pt-BR"/>
        </w:rPr>
        <w:t>[4]</w:t>
      </w:r>
      <w:r w:rsidRPr="00CA13A7">
        <w:rPr>
          <w:sz w:val="18"/>
          <w:szCs w:val="18"/>
          <w:lang w:val="pt-BR"/>
        </w:rPr>
        <w:tab/>
        <w:t xml:space="preserve">Universidade Federal Rural do </w:t>
      </w:r>
      <w:proofErr w:type="spellStart"/>
      <w:r w:rsidRPr="00CA13A7">
        <w:rPr>
          <w:sz w:val="18"/>
          <w:szCs w:val="18"/>
          <w:lang w:val="pt-BR"/>
        </w:rPr>
        <w:t>Semi-Árido</w:t>
      </w:r>
      <w:proofErr w:type="spellEnd"/>
      <w:r w:rsidRPr="00CA13A7">
        <w:rPr>
          <w:sz w:val="18"/>
          <w:szCs w:val="18"/>
          <w:lang w:val="pt-BR"/>
        </w:rPr>
        <w:t>; paulo.costa52310@alunos.ufersa.edu.br</w:t>
      </w:r>
    </w:p>
    <w:p w14:paraId="2041E7A1" w14:textId="77777777" w:rsidR="00DF4FF0" w:rsidRPr="00CA13A7" w:rsidRDefault="00000000">
      <w:pPr>
        <w:ind w:left="311" w:hanging="198"/>
        <w:jc w:val="left"/>
        <w:rPr>
          <w:sz w:val="18"/>
          <w:szCs w:val="18"/>
          <w:lang w:val="pt-BR"/>
        </w:rPr>
      </w:pPr>
      <w:r w:rsidRPr="00CA13A7">
        <w:rPr>
          <w:sz w:val="18"/>
          <w:szCs w:val="18"/>
          <w:vertAlign w:val="superscript"/>
          <w:lang w:val="pt-BR"/>
        </w:rPr>
        <w:t>[5]</w:t>
      </w:r>
      <w:r w:rsidRPr="00CA13A7">
        <w:rPr>
          <w:sz w:val="18"/>
          <w:szCs w:val="18"/>
          <w:lang w:val="pt-BR"/>
        </w:rPr>
        <w:tab/>
        <w:t xml:space="preserve">Universidade Federal Rural do </w:t>
      </w:r>
      <w:proofErr w:type="spellStart"/>
      <w:r w:rsidRPr="00CA13A7">
        <w:rPr>
          <w:sz w:val="18"/>
          <w:szCs w:val="18"/>
          <w:lang w:val="pt-BR"/>
        </w:rPr>
        <w:t>Semi-Árido</w:t>
      </w:r>
      <w:proofErr w:type="spellEnd"/>
      <w:r w:rsidRPr="00CA13A7">
        <w:rPr>
          <w:sz w:val="18"/>
          <w:szCs w:val="18"/>
          <w:lang w:val="pt-BR"/>
        </w:rPr>
        <w:t xml:space="preserve">; </w:t>
      </w:r>
      <w:r w:rsidRPr="00CA13A7">
        <w:rPr>
          <w:color w:val="1F1F1F"/>
          <w:sz w:val="18"/>
          <w:szCs w:val="18"/>
          <w:lang w:val="pt-BR"/>
        </w:rPr>
        <w:t>pedro.albuquerque@alunos.ufersa.edu.br</w:t>
      </w:r>
    </w:p>
    <w:p w14:paraId="2041E7A2" w14:textId="77777777" w:rsidR="00DF4FF0" w:rsidRPr="00CA13A7" w:rsidRDefault="00000000">
      <w:pPr>
        <w:ind w:left="311" w:hanging="198"/>
        <w:jc w:val="left"/>
        <w:rPr>
          <w:sz w:val="18"/>
          <w:szCs w:val="18"/>
          <w:lang w:val="pt-BR"/>
        </w:rPr>
      </w:pPr>
      <w:r w:rsidRPr="00CA13A7">
        <w:rPr>
          <w:sz w:val="18"/>
          <w:szCs w:val="18"/>
          <w:vertAlign w:val="superscript"/>
          <w:lang w:val="pt-BR"/>
        </w:rPr>
        <w:t>[6]</w:t>
      </w:r>
      <w:r w:rsidRPr="00CA13A7">
        <w:rPr>
          <w:sz w:val="18"/>
          <w:szCs w:val="18"/>
          <w:lang w:val="pt-BR"/>
        </w:rPr>
        <w:tab/>
        <w:t xml:space="preserve">Universidade Federal Rural do </w:t>
      </w:r>
      <w:proofErr w:type="spellStart"/>
      <w:r w:rsidRPr="00CA13A7">
        <w:rPr>
          <w:sz w:val="18"/>
          <w:szCs w:val="18"/>
          <w:lang w:val="pt-BR"/>
        </w:rPr>
        <w:t>Semi-Árido</w:t>
      </w:r>
      <w:proofErr w:type="spellEnd"/>
      <w:r w:rsidRPr="00CA13A7">
        <w:rPr>
          <w:sz w:val="18"/>
          <w:szCs w:val="18"/>
          <w:lang w:val="pt-BR"/>
        </w:rPr>
        <w:t>; thamyrys.azevedo@alunos.ufersa.edu.br</w:t>
      </w:r>
    </w:p>
    <w:p w14:paraId="2041E7A3" w14:textId="77777777" w:rsidR="00DF4FF0" w:rsidRPr="00CA13A7" w:rsidRDefault="00000000">
      <w:pPr>
        <w:ind w:left="311" w:hanging="198"/>
        <w:jc w:val="left"/>
        <w:rPr>
          <w:sz w:val="18"/>
          <w:szCs w:val="18"/>
          <w:lang w:val="pt-BR"/>
        </w:rPr>
      </w:pPr>
      <w:r w:rsidRPr="00CA13A7">
        <w:rPr>
          <w:sz w:val="18"/>
          <w:szCs w:val="18"/>
          <w:vertAlign w:val="superscript"/>
          <w:lang w:val="pt-BR"/>
        </w:rPr>
        <w:t>[7]</w:t>
      </w:r>
      <w:r w:rsidRPr="00CA13A7">
        <w:rPr>
          <w:sz w:val="18"/>
          <w:szCs w:val="18"/>
          <w:lang w:val="pt-BR"/>
        </w:rPr>
        <w:tab/>
        <w:t xml:space="preserve">Universidade Federal Rural do </w:t>
      </w:r>
      <w:proofErr w:type="spellStart"/>
      <w:r w:rsidRPr="00CA13A7">
        <w:rPr>
          <w:sz w:val="18"/>
          <w:szCs w:val="18"/>
          <w:lang w:val="pt-BR"/>
        </w:rPr>
        <w:t>Semi-Árido</w:t>
      </w:r>
      <w:proofErr w:type="spellEnd"/>
      <w:r w:rsidRPr="00CA13A7">
        <w:rPr>
          <w:sz w:val="18"/>
          <w:szCs w:val="18"/>
          <w:lang w:val="pt-BR"/>
        </w:rPr>
        <w:t>; fkv@ufersa.edu.br</w:t>
      </w:r>
    </w:p>
    <w:p w14:paraId="0E199470" w14:textId="77777777" w:rsidR="00222298" w:rsidRPr="00CA13A7" w:rsidRDefault="00222298">
      <w:pPr>
        <w:pBdr>
          <w:top w:val="nil"/>
          <w:left w:val="nil"/>
          <w:bottom w:val="nil"/>
          <w:right w:val="nil"/>
          <w:between w:val="nil"/>
        </w:pBdr>
        <w:spacing w:before="240"/>
        <w:ind w:left="113"/>
        <w:rPr>
          <w:i/>
          <w:color w:val="000000"/>
          <w:sz w:val="20"/>
          <w:szCs w:val="20"/>
          <w:lang w:val="pt-BR"/>
        </w:rPr>
      </w:pPr>
    </w:p>
    <w:p w14:paraId="2041E7A7" w14:textId="314DBB5C" w:rsidR="00DF4FF0" w:rsidRPr="00CA13A7" w:rsidRDefault="00000000">
      <w:pPr>
        <w:pBdr>
          <w:top w:val="nil"/>
          <w:left w:val="nil"/>
          <w:bottom w:val="nil"/>
          <w:right w:val="nil"/>
          <w:between w:val="nil"/>
        </w:pBdr>
        <w:spacing w:before="240"/>
        <w:ind w:left="113"/>
        <w:rPr>
          <w:color w:val="000000"/>
          <w:sz w:val="20"/>
          <w:szCs w:val="20"/>
          <w:lang w:val="pt-BR"/>
        </w:rPr>
      </w:pPr>
      <w:r w:rsidRPr="00CA13A7">
        <w:rPr>
          <w:i/>
          <w:color w:val="000000"/>
          <w:sz w:val="20"/>
          <w:szCs w:val="20"/>
          <w:lang w:val="pt-BR"/>
        </w:rPr>
        <w:t xml:space="preserve">Resumo: </w:t>
      </w:r>
      <w:r w:rsidRPr="00CA13A7">
        <w:rPr>
          <w:color w:val="000000"/>
          <w:sz w:val="20"/>
          <w:szCs w:val="20"/>
          <w:lang w:val="pt-BR"/>
        </w:rPr>
        <w:t xml:space="preserve">O avanço das mudanças climáticas </w:t>
      </w:r>
      <w:r w:rsidRPr="00CA13A7">
        <w:rPr>
          <w:sz w:val="20"/>
          <w:szCs w:val="20"/>
          <w:lang w:val="pt-BR"/>
        </w:rPr>
        <w:t>causadas</w:t>
      </w:r>
      <w:r w:rsidRPr="00CA13A7">
        <w:rPr>
          <w:color w:val="000000"/>
          <w:sz w:val="20"/>
          <w:szCs w:val="20"/>
          <w:lang w:val="pt-BR"/>
        </w:rPr>
        <w:t xml:space="preserve"> pela emissão de </w:t>
      </w:r>
      <w:r w:rsidRPr="00CA13A7">
        <w:rPr>
          <w:sz w:val="20"/>
          <w:szCs w:val="20"/>
          <w:lang w:val="pt-BR"/>
        </w:rPr>
        <w:t>Gases do Efeito Estufa (GEE) vem, ao longo dos últimos anos, fomentando iniciativas pautadas na descarbonização da economia mundial. No âmbito internacional, instrumentos como o Acordo de Paris estabelecem metas para limitar o aquecimento global, impulsionando a transição energética. Sendo assim, dentre as soluções que se destacam, está o Hidrogênio Verde (H2V), por ser uma alternativa limpa e viável para diversos setores, como a indústria e o transporte. Nesse viés, o Brasil se apresenta como um potencial protagonista na produção de H2V, dada sua capacidade de gerar energia a partir de diversas fontes renováveis. Ainda assim, para que essa geração se torne realidade é necessário superar uma série de desafios, dentre eles a regulamentação da produção e transporte do H2V no país. Tendo isso em mente, o objetivo do presente trabalho é analisar o arcabouço regulatório do H2V no Brasil entre os anos de 2020 a 2024, identificando os principais documentos e instrumentos normativos que impactam o setor. Para isso, foi realizada uma pesquisa bibliográfica seguida de identificação documental, catalogação, compilação e análise dos dados seguindo a ordem cronológica do arcabouço regulatório. Por fim, este estudo evidencia a importância do avanço regulatório para o desenvolvimento do hidrogênio verde no Brasil, apontando os desafios que precisam ser superados para garantir o crescimento sustentável do hidrogênio verde no país.</w:t>
      </w:r>
    </w:p>
    <w:p w14:paraId="2041E7A8" w14:textId="77777777" w:rsidR="00DF4FF0" w:rsidRPr="00CA13A7" w:rsidRDefault="00000000">
      <w:pPr>
        <w:pBdr>
          <w:top w:val="nil"/>
          <w:left w:val="nil"/>
          <w:bottom w:val="nil"/>
          <w:right w:val="nil"/>
          <w:between w:val="nil"/>
        </w:pBdr>
        <w:spacing w:before="240"/>
        <w:ind w:left="113"/>
        <w:rPr>
          <w:sz w:val="20"/>
          <w:szCs w:val="20"/>
          <w:lang w:val="pt-BR"/>
        </w:rPr>
      </w:pPr>
      <w:r w:rsidRPr="00CA13A7">
        <w:rPr>
          <w:i/>
          <w:color w:val="000000"/>
          <w:sz w:val="20"/>
          <w:szCs w:val="20"/>
          <w:lang w:val="pt-BR"/>
        </w:rPr>
        <w:t>Palavras-chave:</w:t>
      </w:r>
      <w:r w:rsidRPr="00CA13A7">
        <w:rPr>
          <w:b/>
          <w:color w:val="000000"/>
          <w:sz w:val="20"/>
          <w:szCs w:val="20"/>
          <w:lang w:val="pt-BR"/>
        </w:rPr>
        <w:t xml:space="preserve"> </w:t>
      </w:r>
      <w:r w:rsidRPr="00CA13A7">
        <w:rPr>
          <w:sz w:val="20"/>
          <w:szCs w:val="20"/>
          <w:lang w:val="pt-BR"/>
        </w:rPr>
        <w:t>hidrogênio verde; instrumentos regulatórios; marco regulatório do</w:t>
      </w:r>
    </w:p>
    <w:p w14:paraId="2041E7A9" w14:textId="77777777" w:rsidR="00DF4FF0" w:rsidRDefault="00000000">
      <w:pPr>
        <w:pBdr>
          <w:top w:val="nil"/>
          <w:left w:val="nil"/>
          <w:bottom w:val="nil"/>
          <w:right w:val="nil"/>
          <w:between w:val="nil"/>
        </w:pBdr>
        <w:spacing w:before="240"/>
        <w:ind w:left="113"/>
        <w:rPr>
          <w:color w:val="000000"/>
          <w:sz w:val="20"/>
          <w:szCs w:val="20"/>
        </w:rPr>
      </w:pPr>
      <w:r w:rsidRPr="00CA13A7">
        <w:rPr>
          <w:sz w:val="20"/>
          <w:szCs w:val="20"/>
          <w:lang w:val="pt-BR"/>
        </w:rPr>
        <w:t xml:space="preserve"> </w:t>
      </w:r>
      <w:proofErr w:type="spellStart"/>
      <w:r>
        <w:rPr>
          <w:sz w:val="20"/>
          <w:szCs w:val="20"/>
        </w:rPr>
        <w:t>hidrogênio</w:t>
      </w:r>
      <w:proofErr w:type="spellEnd"/>
      <w:r>
        <w:rPr>
          <w:sz w:val="20"/>
          <w:szCs w:val="20"/>
        </w:rPr>
        <w:t xml:space="preserve"> </w:t>
      </w:r>
      <w:proofErr w:type="spellStart"/>
      <w:r>
        <w:rPr>
          <w:sz w:val="20"/>
          <w:szCs w:val="20"/>
        </w:rPr>
        <w:t>verde</w:t>
      </w:r>
      <w:proofErr w:type="spellEnd"/>
      <w:r>
        <w:rPr>
          <w:sz w:val="20"/>
          <w:szCs w:val="20"/>
        </w:rPr>
        <w:t>.</w:t>
      </w:r>
    </w:p>
    <w:p w14:paraId="2041E7AA" w14:textId="77777777" w:rsidR="00DF4FF0" w:rsidRDefault="00000000">
      <w:pPr>
        <w:pBdr>
          <w:top w:val="nil"/>
          <w:left w:val="nil"/>
          <w:bottom w:val="nil"/>
          <w:right w:val="nil"/>
          <w:between w:val="nil"/>
        </w:pBdr>
        <w:spacing w:before="240"/>
        <w:ind w:left="113"/>
        <w:rPr>
          <w:color w:val="000000"/>
          <w:sz w:val="20"/>
          <w:szCs w:val="20"/>
        </w:rPr>
      </w:pPr>
      <w:r>
        <w:rPr>
          <w:i/>
          <w:color w:val="000000"/>
          <w:sz w:val="20"/>
          <w:szCs w:val="20"/>
        </w:rPr>
        <w:t xml:space="preserve">Abstract: </w:t>
      </w:r>
      <w:r>
        <w:rPr>
          <w:sz w:val="20"/>
          <w:szCs w:val="20"/>
        </w:rPr>
        <w:t xml:space="preserve">The advancement of climate change caused by the emission of Greenhouse Gases (GHG) has, over the last few years, encouraged initiatives based on the decarbonization of the world economy. At the international level, instruments such as the Paris Agreement establish goals to limit global warming, boosting the energy transition. In this context, among the solutions that stand out is green hydrogen (H2V), as it is a clean and viable alternative for several sectors, such as industry and transport. In this sense, Brazil presents itself as a potential protagonist in the production of H2V, given its ability to generate energy from various renewable sources. Still, however, for this production to become a reality, it is necessary to overcome a series of challenges, including the regulation of H2V production and transportation in the country. </w:t>
      </w:r>
      <w:proofErr w:type="gramStart"/>
      <w:r>
        <w:rPr>
          <w:sz w:val="20"/>
          <w:szCs w:val="20"/>
        </w:rPr>
        <w:t>With this in mind, the</w:t>
      </w:r>
      <w:proofErr w:type="gramEnd"/>
      <w:r>
        <w:rPr>
          <w:sz w:val="20"/>
          <w:szCs w:val="20"/>
        </w:rPr>
        <w:t xml:space="preserve"> objective of this work is to analyze the regulatory framework for H2V in Brazil between the years 2020 and 2024, identifying the main documents and regulatory instruments that impact the sector. To this end, </w:t>
      </w:r>
      <w:proofErr w:type="gramStart"/>
      <w:r>
        <w:rPr>
          <w:sz w:val="20"/>
          <w:szCs w:val="20"/>
        </w:rPr>
        <w:t>a bibliographical research</w:t>
      </w:r>
      <w:proofErr w:type="gramEnd"/>
      <w:r>
        <w:rPr>
          <w:sz w:val="20"/>
          <w:szCs w:val="20"/>
        </w:rPr>
        <w:t xml:space="preserve"> was carried out followed by documentary identification, cataloguing, compilation and analysis of data, schematized following the chronological order of regulatory advances. Finally, this study highlights the importance of regulatory advancement for the development of green hydrogen in Brazil, pointing out the challenges that need to be overcome to guarantee the sustainable growth of green hydrogen in the country.</w:t>
      </w:r>
    </w:p>
    <w:p w14:paraId="2041E7AB" w14:textId="77777777" w:rsidR="00DF4FF0" w:rsidRDefault="00000000">
      <w:pPr>
        <w:pBdr>
          <w:top w:val="nil"/>
          <w:left w:val="nil"/>
          <w:bottom w:val="nil"/>
          <w:right w:val="nil"/>
          <w:between w:val="nil"/>
        </w:pBdr>
        <w:spacing w:before="240"/>
        <w:ind w:left="113"/>
        <w:rPr>
          <w:color w:val="000000"/>
          <w:sz w:val="20"/>
          <w:szCs w:val="20"/>
        </w:rPr>
      </w:pPr>
      <w:proofErr w:type="gramStart"/>
      <w:r>
        <w:rPr>
          <w:i/>
          <w:color w:val="000000"/>
          <w:sz w:val="20"/>
          <w:szCs w:val="20"/>
        </w:rPr>
        <w:t>Key-words</w:t>
      </w:r>
      <w:proofErr w:type="gramEnd"/>
      <w:r>
        <w:rPr>
          <w:i/>
          <w:color w:val="000000"/>
          <w:sz w:val="20"/>
          <w:szCs w:val="20"/>
        </w:rPr>
        <w:t>:</w:t>
      </w:r>
      <w:r>
        <w:rPr>
          <w:b/>
          <w:color w:val="000000"/>
          <w:sz w:val="20"/>
          <w:szCs w:val="20"/>
        </w:rPr>
        <w:t xml:space="preserve"> </w:t>
      </w:r>
      <w:r>
        <w:rPr>
          <w:sz w:val="20"/>
          <w:szCs w:val="20"/>
        </w:rPr>
        <w:t>green hydrogen; regulatory instruments; green hydrogen regulatory framework.</w:t>
      </w:r>
    </w:p>
    <w:p w14:paraId="2041E7AC" w14:textId="77777777" w:rsidR="00DF4FF0" w:rsidRDefault="00DF4FF0">
      <w:pPr>
        <w:pBdr>
          <w:top w:val="nil"/>
          <w:left w:val="nil"/>
          <w:bottom w:val="single" w:sz="6" w:space="1" w:color="000000"/>
          <w:right w:val="nil"/>
          <w:between w:val="nil"/>
        </w:pBdr>
        <w:rPr>
          <w:color w:val="000000"/>
          <w:sz w:val="20"/>
          <w:szCs w:val="20"/>
        </w:rPr>
      </w:pPr>
    </w:p>
    <w:p w14:paraId="2041E7AD" w14:textId="77777777" w:rsidR="00DF4FF0" w:rsidRDefault="00DF4FF0">
      <w:pPr>
        <w:pBdr>
          <w:top w:val="nil"/>
          <w:left w:val="nil"/>
          <w:bottom w:val="nil"/>
          <w:right w:val="nil"/>
          <w:between w:val="nil"/>
        </w:pBdr>
        <w:ind w:firstLine="425"/>
        <w:rPr>
          <w:color w:val="000000"/>
          <w:sz w:val="20"/>
          <w:szCs w:val="20"/>
        </w:rPr>
      </w:pPr>
    </w:p>
    <w:p w14:paraId="2041E7AE" w14:textId="77777777" w:rsidR="00DF4FF0" w:rsidRPr="00CA13A7" w:rsidRDefault="00000000">
      <w:pPr>
        <w:pBdr>
          <w:top w:val="nil"/>
          <w:left w:val="nil"/>
          <w:bottom w:val="nil"/>
          <w:right w:val="nil"/>
          <w:between w:val="nil"/>
        </w:pBdr>
        <w:spacing w:before="240" w:after="120"/>
        <w:jc w:val="center"/>
        <w:rPr>
          <w:color w:val="000000"/>
          <w:sz w:val="20"/>
          <w:szCs w:val="20"/>
          <w:lang w:val="pt-BR"/>
        </w:rPr>
      </w:pPr>
      <w:r w:rsidRPr="00CA13A7">
        <w:rPr>
          <w:smallCaps/>
          <w:color w:val="000000"/>
          <w:sz w:val="20"/>
          <w:szCs w:val="20"/>
          <w:lang w:val="pt-BR"/>
        </w:rPr>
        <w:lastRenderedPageBreak/>
        <w:t>1. Introdução</w:t>
      </w:r>
    </w:p>
    <w:p w14:paraId="2041E7AF" w14:textId="77777777" w:rsidR="00DF4FF0" w:rsidRPr="00CA13A7" w:rsidRDefault="00000000">
      <w:pPr>
        <w:ind w:firstLine="425"/>
        <w:rPr>
          <w:sz w:val="20"/>
          <w:szCs w:val="20"/>
          <w:lang w:val="pt-BR"/>
        </w:rPr>
      </w:pPr>
      <w:r w:rsidRPr="00CA13A7">
        <w:rPr>
          <w:sz w:val="20"/>
          <w:szCs w:val="20"/>
          <w:lang w:val="pt-BR"/>
        </w:rPr>
        <w:t xml:space="preserve">Nos últimos anos, um esforço em conjunto tem sido feito para elaborar soluções que levem a descarbonização da economia mundial, com o objetivo de reduzir a emissão dos Gases precursores do Efeito Estufa (GEE) na atmosfera e, como consequência, diminuir as mudanças climáticas que vem ameaçando a continuidade da existência humana, devido ao grande desequilíbrio causado pelo aquecimento global em decorrência da emissão dos GEE [1]. </w:t>
      </w:r>
    </w:p>
    <w:p w14:paraId="2041E7B0" w14:textId="77777777" w:rsidR="00DF4FF0" w:rsidRPr="00CA13A7" w:rsidRDefault="00000000">
      <w:pPr>
        <w:ind w:firstLine="425"/>
        <w:rPr>
          <w:sz w:val="20"/>
          <w:szCs w:val="20"/>
          <w:lang w:val="pt-BR"/>
        </w:rPr>
      </w:pPr>
      <w:r w:rsidRPr="00CA13A7">
        <w:rPr>
          <w:sz w:val="20"/>
          <w:szCs w:val="20"/>
          <w:lang w:val="pt-BR"/>
        </w:rPr>
        <w:t>Neste contexto, diversas conferências foram realizadas pela Organização das Nações Unidas (ONU) entre diversos países, a fim de firmar acordos multilaterais para avançar no combate às mudanças climáticas. Dentre estes acordos, encontra-se o Acordo de Paris, celebrado em 2015, que estabeleceu como meta limitar o aquecimento global abaixo dos 2ºC, sendo 1,5 ºC o cenário mais adequado até o fim do século [2].</w:t>
      </w:r>
    </w:p>
    <w:p w14:paraId="2041E7B1" w14:textId="77777777" w:rsidR="00DF4FF0" w:rsidRPr="00CA13A7" w:rsidRDefault="00000000">
      <w:pPr>
        <w:ind w:firstLine="425"/>
        <w:rPr>
          <w:sz w:val="20"/>
          <w:szCs w:val="20"/>
          <w:lang w:val="pt-BR"/>
        </w:rPr>
      </w:pPr>
      <w:r w:rsidRPr="00CA13A7">
        <w:rPr>
          <w:sz w:val="20"/>
          <w:szCs w:val="20"/>
          <w:lang w:val="pt-BR"/>
        </w:rPr>
        <w:t>A fim de atingir este objetivo, algumas ações vêm sendo discutidas, tais como a viabilização da transição energética segura e ambientalmente sustentável. Apesar disso, tal processo é considerado complexo, com variações de estágio e de ritmo das transformações em diferentes países, regiões ou localidades.</w:t>
      </w:r>
    </w:p>
    <w:p w14:paraId="2041E7B2" w14:textId="77777777" w:rsidR="00DF4FF0" w:rsidRPr="00CA13A7" w:rsidRDefault="00000000">
      <w:pPr>
        <w:ind w:firstLine="425"/>
        <w:rPr>
          <w:sz w:val="20"/>
          <w:szCs w:val="20"/>
          <w:lang w:val="pt-BR"/>
        </w:rPr>
      </w:pPr>
      <w:r w:rsidRPr="00CA13A7">
        <w:rPr>
          <w:sz w:val="20"/>
          <w:szCs w:val="20"/>
          <w:lang w:val="pt-BR"/>
        </w:rPr>
        <w:t>Neste contexto, segundo [3], o hidrogênio tem ganhado projeção como solução energética, podendo ser empregado, por exemplo, nos setores de transporte e industrial.</w:t>
      </w:r>
    </w:p>
    <w:p w14:paraId="2041E7B3" w14:textId="77777777" w:rsidR="00DF4FF0" w:rsidRPr="00CA13A7" w:rsidRDefault="00000000">
      <w:pPr>
        <w:ind w:firstLine="425"/>
        <w:rPr>
          <w:sz w:val="20"/>
          <w:szCs w:val="20"/>
          <w:lang w:val="pt-BR"/>
        </w:rPr>
      </w:pPr>
      <w:r w:rsidRPr="00CA13A7">
        <w:rPr>
          <w:sz w:val="20"/>
          <w:szCs w:val="20"/>
          <w:lang w:val="pt-BR"/>
        </w:rPr>
        <w:t>Dentre as principais rotas de produção de hidrogênio, encontra-se a produção do hidrogênio verde obtido a partir das fontes renováveis de energia (eólica, solar ou hídrica) através da eletrólise da água. Entre outras rotas existentes, esta é considerada a mais limpa por ser livre de emissões. O Plano Nacional de Energia 2050 [4] também afirma que dentre as alternativas para produção de hidrogênio, a rota verde é considerada como a de maior relevância internacional e o Brasil é reconhecido mundialmente como um potencial grande player nesse novo sistema energético.</w:t>
      </w:r>
    </w:p>
    <w:p w14:paraId="2041E7B4" w14:textId="77777777" w:rsidR="00DF4FF0" w:rsidRPr="00CA13A7" w:rsidRDefault="00000000">
      <w:pPr>
        <w:ind w:firstLine="425"/>
        <w:rPr>
          <w:sz w:val="20"/>
          <w:szCs w:val="20"/>
          <w:lang w:val="pt-BR"/>
        </w:rPr>
      </w:pPr>
      <w:r w:rsidRPr="00CA13A7">
        <w:rPr>
          <w:sz w:val="20"/>
          <w:szCs w:val="20"/>
          <w:lang w:val="pt-BR"/>
        </w:rPr>
        <w:t xml:space="preserve">Além disso, o interesse em hidrogênio eletrolítico tem tido considerável crescimento nos últimos anos, e segundo o Instituto de Pesquisa Econômica Aplicada (IPEA), isso se deve à redução dos custos da eletricidade renovável, em particular da energia solar fotovoltaica e eólica. Ainda segundo [5], a região do Nordeste brasileiro, incluindo o Rio Grande do Norte (RN), tem se posicionado como um polo produtor de H2V, pois possui alto potencial para geração de energia eólica e solar, e seus portos estão geograficamente bem localizados em relação aos principais mercados da Europa. </w:t>
      </w:r>
    </w:p>
    <w:p w14:paraId="2041E7B5" w14:textId="77777777" w:rsidR="00DF4FF0" w:rsidRPr="00CA13A7" w:rsidRDefault="00000000">
      <w:pPr>
        <w:ind w:firstLine="425"/>
        <w:rPr>
          <w:sz w:val="20"/>
          <w:szCs w:val="20"/>
          <w:lang w:val="pt-BR"/>
        </w:rPr>
      </w:pPr>
      <w:r w:rsidRPr="00CA13A7">
        <w:rPr>
          <w:sz w:val="20"/>
          <w:szCs w:val="20"/>
          <w:lang w:val="pt-BR"/>
        </w:rPr>
        <w:t>Por todo o exposto, fica evidente a relevância do H2V como ferramenta de mitigação da emissão dos GEE uma realidade, porém para que a produção deste combustível seja possível, é necessário superar alguns desafios, entre eles estão o transporte, armazenamento e distribuição do produto, como também os instrumentos regulatórios [6].</w:t>
      </w:r>
    </w:p>
    <w:p w14:paraId="2041E7B6" w14:textId="77777777" w:rsidR="00DF4FF0" w:rsidRPr="00CA13A7" w:rsidRDefault="00000000">
      <w:pPr>
        <w:ind w:firstLine="425"/>
        <w:rPr>
          <w:sz w:val="20"/>
          <w:szCs w:val="20"/>
          <w:lang w:val="pt-BR"/>
        </w:rPr>
      </w:pPr>
      <w:r w:rsidRPr="00CA13A7">
        <w:rPr>
          <w:sz w:val="20"/>
          <w:szCs w:val="20"/>
          <w:lang w:val="pt-BR"/>
        </w:rPr>
        <w:t>Tendo esse último desafio como foco, o presente estudo tem como objetivo identificar e analisar documentos que tratem sobre o andamento do arcabouço regulatório do H2V no Brasil entre os anos de 2020 a 2024. Para isto, o artigo está organizado em quatro seções, incluindo esta introdução. No segundo tópico, serão apresentados os materiais e métodos utilizados para a estruturação do trabalho. No terceiro, descreve-se os principais instrumentos regulatórios em ordem cronológica que envolvem o H2V. Por fim, a quarta e última seção, que trata sobre as considerações finais do contexto atual do panorama brasileiro, assim como as perspectivas e desafios para o melhor desenvolvimento dos instrumentos regulatórios de H2V no Brasil.</w:t>
      </w:r>
    </w:p>
    <w:p w14:paraId="2041E7B7" w14:textId="77777777" w:rsidR="00DF4FF0" w:rsidRPr="00CA13A7" w:rsidRDefault="00DF4FF0">
      <w:pPr>
        <w:ind w:firstLine="425"/>
        <w:rPr>
          <w:sz w:val="20"/>
          <w:szCs w:val="20"/>
          <w:lang w:val="pt-BR"/>
        </w:rPr>
      </w:pPr>
    </w:p>
    <w:p w14:paraId="2041E7B8" w14:textId="77777777" w:rsidR="00DF4FF0" w:rsidRPr="00CA13A7" w:rsidRDefault="00000000">
      <w:pPr>
        <w:pBdr>
          <w:top w:val="nil"/>
          <w:left w:val="nil"/>
          <w:bottom w:val="nil"/>
          <w:right w:val="nil"/>
          <w:between w:val="nil"/>
        </w:pBdr>
        <w:spacing w:before="240" w:after="120"/>
        <w:jc w:val="center"/>
        <w:rPr>
          <w:smallCaps/>
          <w:color w:val="000000"/>
          <w:sz w:val="20"/>
          <w:szCs w:val="20"/>
          <w:lang w:val="pt-BR"/>
        </w:rPr>
      </w:pPr>
      <w:r w:rsidRPr="00CA13A7">
        <w:rPr>
          <w:smallCaps/>
          <w:color w:val="000000"/>
          <w:sz w:val="20"/>
          <w:szCs w:val="20"/>
          <w:lang w:val="pt-BR"/>
        </w:rPr>
        <w:t>2. Materiais e métodos</w:t>
      </w:r>
    </w:p>
    <w:p w14:paraId="2041E7B9" w14:textId="77777777" w:rsidR="00DF4FF0" w:rsidRPr="00CA13A7" w:rsidRDefault="00000000">
      <w:pPr>
        <w:pBdr>
          <w:top w:val="nil"/>
          <w:left w:val="nil"/>
          <w:bottom w:val="nil"/>
          <w:right w:val="nil"/>
          <w:between w:val="nil"/>
        </w:pBdr>
        <w:ind w:firstLine="425"/>
        <w:rPr>
          <w:lang w:val="pt-BR"/>
        </w:rPr>
      </w:pPr>
      <w:r w:rsidRPr="00CA13A7">
        <w:rPr>
          <w:sz w:val="20"/>
          <w:szCs w:val="20"/>
          <w:lang w:val="pt-BR"/>
        </w:rPr>
        <w:t>Para alcançar os objetivos deste estudo, foi realizada uma revisão bibliográfica da literatura sobre a regulamentação brasileira que trata do estágio regulatório do Hidrogênio Verde no Brasil. A metodologia utilizada neste trabalho seguiu as cinco etapas mostradas na Figura 1</w:t>
      </w:r>
      <w:r w:rsidRPr="00CA13A7">
        <w:rPr>
          <w:lang w:val="pt-BR"/>
        </w:rPr>
        <w:t>.</w:t>
      </w:r>
    </w:p>
    <w:p w14:paraId="2041E7BA" w14:textId="77777777" w:rsidR="00DF4FF0" w:rsidRDefault="00000000">
      <w:pPr>
        <w:spacing w:line="276" w:lineRule="auto"/>
        <w:ind w:left="720"/>
        <w:jc w:val="center"/>
        <w:rPr>
          <w:rFonts w:ascii="Arial" w:eastAsia="Arial" w:hAnsi="Arial" w:cs="Arial"/>
        </w:rPr>
      </w:pPr>
      <w:r>
        <w:rPr>
          <w:rFonts w:ascii="Arial" w:eastAsia="Arial" w:hAnsi="Arial" w:cs="Arial"/>
          <w:noProof/>
        </w:rPr>
        <w:drawing>
          <wp:inline distT="114300" distB="114300" distL="114300" distR="114300" wp14:anchorId="2041E88E" wp14:editId="2041E88F">
            <wp:extent cx="3260888" cy="204055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260888" cy="2040555"/>
                    </a:xfrm>
                    <a:prstGeom prst="rect">
                      <a:avLst/>
                    </a:prstGeom>
                    <a:ln/>
                  </pic:spPr>
                </pic:pic>
              </a:graphicData>
            </a:graphic>
          </wp:inline>
        </w:drawing>
      </w:r>
    </w:p>
    <w:p w14:paraId="2041E7BB" w14:textId="77777777" w:rsidR="00DF4FF0" w:rsidRPr="00CA13A7" w:rsidRDefault="00000000">
      <w:pPr>
        <w:spacing w:before="120" w:after="240"/>
        <w:ind w:left="1145" w:right="425" w:firstLine="295"/>
        <w:jc w:val="center"/>
        <w:rPr>
          <w:rFonts w:ascii="Arial" w:eastAsia="Arial" w:hAnsi="Arial" w:cs="Arial"/>
          <w:lang w:val="pt-BR"/>
        </w:rPr>
      </w:pPr>
      <w:r w:rsidRPr="00CA13A7">
        <w:rPr>
          <w:sz w:val="18"/>
          <w:szCs w:val="18"/>
          <w:lang w:val="pt-BR"/>
        </w:rPr>
        <w:t>Figura 1. Etapas da pesquisa Etapas da metodologia (autoria própria).</w:t>
      </w:r>
    </w:p>
    <w:p w14:paraId="2041E7BC" w14:textId="77777777" w:rsidR="00DF4FF0" w:rsidRPr="00CA13A7" w:rsidRDefault="00000000">
      <w:pPr>
        <w:pBdr>
          <w:top w:val="nil"/>
          <w:left w:val="nil"/>
          <w:bottom w:val="nil"/>
          <w:right w:val="nil"/>
          <w:between w:val="nil"/>
        </w:pBdr>
        <w:ind w:firstLine="425"/>
        <w:rPr>
          <w:sz w:val="20"/>
          <w:szCs w:val="20"/>
          <w:lang w:val="pt-BR"/>
        </w:rPr>
      </w:pPr>
      <w:r w:rsidRPr="00CA13A7">
        <w:rPr>
          <w:sz w:val="20"/>
          <w:szCs w:val="20"/>
          <w:lang w:val="pt-BR"/>
        </w:rPr>
        <w:t>Tais etapas desenvolvidas no trabalho, conforme mostrado na Figura 1, são assim detalhadas:</w:t>
      </w:r>
    </w:p>
    <w:p w14:paraId="2041E7BD" w14:textId="77777777" w:rsidR="00DF4FF0" w:rsidRPr="00CA13A7" w:rsidRDefault="00DF4FF0">
      <w:pPr>
        <w:pBdr>
          <w:top w:val="nil"/>
          <w:left w:val="nil"/>
          <w:bottom w:val="nil"/>
          <w:right w:val="nil"/>
          <w:between w:val="nil"/>
        </w:pBdr>
        <w:ind w:firstLine="425"/>
        <w:rPr>
          <w:sz w:val="20"/>
          <w:szCs w:val="20"/>
          <w:lang w:val="pt-BR"/>
        </w:rPr>
      </w:pPr>
    </w:p>
    <w:p w14:paraId="2041E7BE" w14:textId="77777777" w:rsidR="00DF4FF0" w:rsidRPr="00CA13A7" w:rsidRDefault="00000000">
      <w:pPr>
        <w:numPr>
          <w:ilvl w:val="0"/>
          <w:numId w:val="1"/>
        </w:numPr>
        <w:spacing w:line="276" w:lineRule="auto"/>
        <w:rPr>
          <w:sz w:val="20"/>
          <w:szCs w:val="20"/>
          <w:lang w:val="pt-BR"/>
        </w:rPr>
      </w:pPr>
      <w:r w:rsidRPr="00CA13A7">
        <w:rPr>
          <w:b/>
          <w:sz w:val="20"/>
          <w:szCs w:val="20"/>
          <w:lang w:val="pt-BR"/>
        </w:rPr>
        <w:t>Pesquisa bibliográfica:</w:t>
      </w:r>
      <w:r w:rsidRPr="00CA13A7">
        <w:rPr>
          <w:sz w:val="20"/>
          <w:szCs w:val="20"/>
          <w:lang w:val="pt-BR"/>
        </w:rPr>
        <w:t xml:space="preserve"> esta primeira etapa refere-se à busca do arcabouço regulatório, relatórios e outros documentos relevantes para a pesquisa. As fontes de pesquisa utilizadas foram na obtenção de dados disponibilizados pelos Órgãos competentes que regem o setor de energia elétrica do Brasil.</w:t>
      </w:r>
    </w:p>
    <w:p w14:paraId="2041E7BF" w14:textId="77777777" w:rsidR="00DF4FF0" w:rsidRPr="00CA13A7" w:rsidRDefault="00000000">
      <w:pPr>
        <w:numPr>
          <w:ilvl w:val="0"/>
          <w:numId w:val="1"/>
        </w:numPr>
        <w:spacing w:line="276" w:lineRule="auto"/>
        <w:rPr>
          <w:sz w:val="20"/>
          <w:szCs w:val="20"/>
          <w:lang w:val="pt-BR"/>
        </w:rPr>
      </w:pPr>
      <w:r w:rsidRPr="00CA13A7">
        <w:rPr>
          <w:b/>
          <w:sz w:val="20"/>
          <w:szCs w:val="20"/>
          <w:lang w:val="pt-BR"/>
        </w:rPr>
        <w:t>Identificação documental:</w:t>
      </w:r>
      <w:r w:rsidRPr="00CA13A7">
        <w:rPr>
          <w:sz w:val="20"/>
          <w:szCs w:val="20"/>
          <w:lang w:val="pt-BR"/>
        </w:rPr>
        <w:t xml:space="preserve"> a segunda etapa envolveu a leitura e a análise crítica dos documentos selecionados. Foram identificados os principais conceitos e argumentos apresentados em cada documento e como eles se relacionavam.</w:t>
      </w:r>
    </w:p>
    <w:p w14:paraId="2041E7C0" w14:textId="77777777" w:rsidR="00DF4FF0" w:rsidRPr="00CA13A7" w:rsidRDefault="00000000">
      <w:pPr>
        <w:numPr>
          <w:ilvl w:val="0"/>
          <w:numId w:val="1"/>
        </w:numPr>
        <w:spacing w:line="276" w:lineRule="auto"/>
        <w:rPr>
          <w:sz w:val="20"/>
          <w:szCs w:val="20"/>
          <w:lang w:val="pt-BR"/>
        </w:rPr>
      </w:pPr>
      <w:r w:rsidRPr="00CA13A7">
        <w:rPr>
          <w:b/>
          <w:sz w:val="20"/>
          <w:szCs w:val="20"/>
          <w:lang w:val="pt-BR"/>
        </w:rPr>
        <w:t>Catalogação:</w:t>
      </w:r>
      <w:r w:rsidRPr="00CA13A7">
        <w:rPr>
          <w:sz w:val="20"/>
          <w:szCs w:val="20"/>
          <w:lang w:val="pt-BR"/>
        </w:rPr>
        <w:t xml:space="preserve"> na terceira etapa, os documentos foram selecionados com base em critérios de inclusão e exclusão, tais como relevância para o assunto em questão, data de publicação e qualidade metodológica, sendo dispostos em ordem cronológica.</w:t>
      </w:r>
    </w:p>
    <w:p w14:paraId="2041E7C1" w14:textId="77777777" w:rsidR="00DF4FF0" w:rsidRPr="00CA13A7" w:rsidRDefault="00000000">
      <w:pPr>
        <w:numPr>
          <w:ilvl w:val="0"/>
          <w:numId w:val="1"/>
        </w:numPr>
        <w:pBdr>
          <w:top w:val="nil"/>
          <w:left w:val="nil"/>
          <w:bottom w:val="nil"/>
          <w:right w:val="nil"/>
          <w:between w:val="nil"/>
        </w:pBdr>
        <w:rPr>
          <w:sz w:val="20"/>
          <w:szCs w:val="20"/>
          <w:lang w:val="pt-BR"/>
        </w:rPr>
      </w:pPr>
      <w:r w:rsidRPr="00CA13A7">
        <w:rPr>
          <w:b/>
          <w:sz w:val="20"/>
          <w:szCs w:val="20"/>
          <w:lang w:val="pt-BR"/>
        </w:rPr>
        <w:t>Compilação de dados:</w:t>
      </w:r>
      <w:r w:rsidRPr="00CA13A7">
        <w:rPr>
          <w:sz w:val="20"/>
          <w:szCs w:val="20"/>
          <w:lang w:val="pt-BR"/>
        </w:rPr>
        <w:t xml:space="preserve"> esta quarta etapa envolveu a descrição de cada documento em sua devida ordem cronológica.</w:t>
      </w:r>
      <w:r w:rsidRPr="00CA13A7">
        <w:rPr>
          <w:color w:val="000000"/>
          <w:sz w:val="20"/>
          <w:szCs w:val="20"/>
          <w:lang w:val="pt-BR"/>
        </w:rPr>
        <w:t xml:space="preserve"> </w:t>
      </w:r>
    </w:p>
    <w:p w14:paraId="2041E7C2" w14:textId="77777777" w:rsidR="00DF4FF0" w:rsidRPr="00CA13A7" w:rsidRDefault="00000000">
      <w:pPr>
        <w:numPr>
          <w:ilvl w:val="0"/>
          <w:numId w:val="1"/>
        </w:numPr>
        <w:pBdr>
          <w:top w:val="nil"/>
          <w:left w:val="nil"/>
          <w:bottom w:val="nil"/>
          <w:right w:val="nil"/>
          <w:between w:val="nil"/>
        </w:pBdr>
        <w:rPr>
          <w:color w:val="0D0D0D"/>
          <w:sz w:val="20"/>
          <w:szCs w:val="20"/>
          <w:lang w:val="pt-BR"/>
        </w:rPr>
      </w:pPr>
      <w:r w:rsidRPr="00CA13A7">
        <w:rPr>
          <w:b/>
          <w:color w:val="0D0D0D"/>
          <w:sz w:val="20"/>
          <w:szCs w:val="20"/>
          <w:lang w:val="pt-BR"/>
        </w:rPr>
        <w:t>Análise de dados:</w:t>
      </w:r>
      <w:r w:rsidRPr="00CA13A7">
        <w:rPr>
          <w:color w:val="0D0D0D"/>
          <w:sz w:val="20"/>
          <w:szCs w:val="20"/>
          <w:lang w:val="pt-BR"/>
        </w:rPr>
        <w:t xml:space="preserve"> na quinta e última etapa, os dados foram descritos e examinados criticamente.</w:t>
      </w:r>
    </w:p>
    <w:p w14:paraId="2041E7C3" w14:textId="77777777" w:rsidR="00DF4FF0" w:rsidRPr="00CA13A7" w:rsidRDefault="00000000">
      <w:pPr>
        <w:pBdr>
          <w:top w:val="nil"/>
          <w:left w:val="nil"/>
          <w:bottom w:val="nil"/>
          <w:right w:val="nil"/>
          <w:between w:val="nil"/>
        </w:pBdr>
        <w:spacing w:before="240" w:after="120"/>
        <w:jc w:val="center"/>
        <w:rPr>
          <w:b/>
          <w:color w:val="000000"/>
          <w:sz w:val="20"/>
          <w:szCs w:val="20"/>
          <w:lang w:val="pt-BR"/>
        </w:rPr>
      </w:pPr>
      <w:r w:rsidRPr="00CA13A7">
        <w:rPr>
          <w:smallCaps/>
          <w:color w:val="000000"/>
          <w:sz w:val="20"/>
          <w:szCs w:val="20"/>
          <w:lang w:val="pt-BR"/>
        </w:rPr>
        <w:t>3. Análise de Resultados</w:t>
      </w:r>
    </w:p>
    <w:p w14:paraId="2041E7C4" w14:textId="77777777" w:rsidR="00DF4FF0" w:rsidRPr="00CA13A7" w:rsidRDefault="00000000">
      <w:pPr>
        <w:pBdr>
          <w:top w:val="nil"/>
          <w:left w:val="nil"/>
          <w:bottom w:val="nil"/>
          <w:right w:val="nil"/>
          <w:between w:val="nil"/>
        </w:pBdr>
        <w:ind w:firstLine="425"/>
        <w:rPr>
          <w:sz w:val="20"/>
          <w:szCs w:val="20"/>
          <w:lang w:val="pt-BR"/>
        </w:rPr>
      </w:pPr>
      <w:r w:rsidRPr="00CA13A7">
        <w:rPr>
          <w:sz w:val="20"/>
          <w:szCs w:val="20"/>
          <w:lang w:val="pt-BR"/>
        </w:rPr>
        <w:t>Esta seção apresenta o levantamento dos principais instrumentos regulatórios relacionados ao Hidrogênio Verde no Brasil, organizados por ano e classificados de acordo com sua natureza, como planos nacionais de energia, resoluções do Conselho Nacional de Política Energética (CNPE), notas técnicas e projetos de lei atualmente existentes. O objetivo é reunir e sistematizar estas normativas proporcionando uma visão geral sobre o desenvolvimento do marco regulatório do hidrogênio no país.</w:t>
      </w:r>
    </w:p>
    <w:p w14:paraId="2041E7C5" w14:textId="77777777" w:rsidR="00DF4FF0" w:rsidRPr="00CA13A7" w:rsidRDefault="00000000">
      <w:pPr>
        <w:pBdr>
          <w:top w:val="nil"/>
          <w:left w:val="nil"/>
          <w:bottom w:val="nil"/>
          <w:right w:val="nil"/>
          <w:between w:val="nil"/>
        </w:pBdr>
        <w:ind w:firstLine="425"/>
        <w:rPr>
          <w:sz w:val="20"/>
          <w:szCs w:val="20"/>
          <w:lang w:val="pt-BR"/>
        </w:rPr>
      </w:pPr>
      <w:r w:rsidRPr="00CA13A7">
        <w:rPr>
          <w:sz w:val="20"/>
          <w:szCs w:val="20"/>
          <w:lang w:val="pt-BR"/>
        </w:rPr>
        <w:t>Os subtópicos listados na seção 3.1 incluem regulamentações desde o ano de 2020 até 2024, evidenciando a evolução das diretrizes governamentais. Além da descrição textual, a Figura 2 mostra um resumo destes marcos regulatórios, representando um modelo de linha do tempo.</w:t>
      </w:r>
    </w:p>
    <w:p w14:paraId="2041E7C6" w14:textId="77777777" w:rsidR="00DF4FF0" w:rsidRDefault="00000000">
      <w:pPr>
        <w:pBdr>
          <w:top w:val="nil"/>
          <w:left w:val="nil"/>
          <w:bottom w:val="nil"/>
          <w:right w:val="nil"/>
          <w:between w:val="nil"/>
        </w:pBdr>
        <w:ind w:firstLine="425"/>
        <w:jc w:val="center"/>
        <w:rPr>
          <w:sz w:val="20"/>
          <w:szCs w:val="20"/>
        </w:rPr>
      </w:pPr>
      <w:r>
        <w:rPr>
          <w:noProof/>
          <w:sz w:val="20"/>
          <w:szCs w:val="20"/>
        </w:rPr>
        <w:drawing>
          <wp:inline distT="114300" distB="114300" distL="114300" distR="114300" wp14:anchorId="2041E890" wp14:editId="2041E891">
            <wp:extent cx="5706332" cy="291496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06332" cy="2914967"/>
                    </a:xfrm>
                    <a:prstGeom prst="rect">
                      <a:avLst/>
                    </a:prstGeom>
                    <a:ln/>
                  </pic:spPr>
                </pic:pic>
              </a:graphicData>
            </a:graphic>
          </wp:inline>
        </w:drawing>
      </w:r>
    </w:p>
    <w:p w14:paraId="2041E7C7" w14:textId="77777777" w:rsidR="00DF4FF0" w:rsidRPr="00CA13A7" w:rsidRDefault="00000000">
      <w:pPr>
        <w:spacing w:before="120" w:after="240"/>
        <w:ind w:left="425" w:right="425"/>
        <w:jc w:val="center"/>
        <w:rPr>
          <w:sz w:val="20"/>
          <w:szCs w:val="20"/>
          <w:lang w:val="pt-BR"/>
        </w:rPr>
      </w:pPr>
      <w:r w:rsidRPr="00CA13A7">
        <w:rPr>
          <w:sz w:val="18"/>
          <w:szCs w:val="18"/>
          <w:lang w:val="pt-BR"/>
        </w:rPr>
        <w:t>Figura 2. Linha do Tempo dos Instrumentos Regulatórios do Hidrogênio Verde no Brasil (período 2020-2024) (autoria própria).</w:t>
      </w:r>
    </w:p>
    <w:p w14:paraId="2041E7C8" w14:textId="77777777" w:rsidR="00DF4FF0" w:rsidRPr="00CA13A7" w:rsidRDefault="00000000">
      <w:pPr>
        <w:pBdr>
          <w:top w:val="nil"/>
          <w:left w:val="nil"/>
          <w:bottom w:val="nil"/>
          <w:right w:val="nil"/>
          <w:between w:val="nil"/>
        </w:pBdr>
        <w:spacing w:before="240" w:after="120"/>
        <w:jc w:val="left"/>
        <w:rPr>
          <w:i/>
          <w:sz w:val="20"/>
          <w:szCs w:val="20"/>
          <w:lang w:val="pt-BR"/>
        </w:rPr>
      </w:pPr>
      <w:r w:rsidRPr="00CA13A7">
        <w:rPr>
          <w:i/>
          <w:color w:val="000000"/>
          <w:sz w:val="20"/>
          <w:szCs w:val="20"/>
          <w:lang w:val="pt-BR"/>
        </w:rPr>
        <w:t xml:space="preserve">3.1. </w:t>
      </w:r>
      <w:r w:rsidRPr="00CA13A7">
        <w:rPr>
          <w:i/>
          <w:sz w:val="20"/>
          <w:szCs w:val="20"/>
          <w:lang w:val="pt-BR"/>
        </w:rPr>
        <w:t>Instrumentos regulatórios: ano de 2020</w:t>
      </w:r>
    </w:p>
    <w:p w14:paraId="2041E7C9" w14:textId="77777777" w:rsidR="00DF4FF0" w:rsidRPr="00CA13A7" w:rsidRDefault="00000000">
      <w:pPr>
        <w:pBdr>
          <w:top w:val="nil"/>
          <w:left w:val="nil"/>
          <w:bottom w:val="nil"/>
          <w:right w:val="nil"/>
          <w:between w:val="nil"/>
        </w:pBdr>
        <w:spacing w:before="240" w:after="120"/>
        <w:ind w:firstLine="425"/>
        <w:rPr>
          <w:sz w:val="20"/>
          <w:szCs w:val="20"/>
          <w:lang w:val="pt-BR"/>
        </w:rPr>
      </w:pPr>
      <w:r w:rsidRPr="00CA13A7">
        <w:rPr>
          <w:sz w:val="20"/>
          <w:szCs w:val="20"/>
          <w:lang w:val="pt-BR"/>
        </w:rPr>
        <w:t>No ano de 2020 iniciou-se a preocupação por uma transição energética mais limpa e eficiente quanto a mitigar os efeitos climáticos provenientes da emissão de carbono. Com isso, a inserção do Hidrogênio na matriz energética brasileira se mostrou como uma solução alternativa.</w:t>
      </w:r>
    </w:p>
    <w:p w14:paraId="2041E7CA" w14:textId="77777777" w:rsidR="00DF4FF0" w:rsidRPr="00CA13A7" w:rsidRDefault="00000000">
      <w:pPr>
        <w:pBdr>
          <w:top w:val="nil"/>
          <w:left w:val="nil"/>
          <w:bottom w:val="nil"/>
          <w:right w:val="nil"/>
          <w:between w:val="nil"/>
        </w:pBdr>
        <w:spacing w:before="240" w:after="120"/>
        <w:jc w:val="left"/>
        <w:rPr>
          <w:sz w:val="20"/>
          <w:szCs w:val="20"/>
          <w:lang w:val="pt-BR"/>
        </w:rPr>
      </w:pPr>
      <w:r w:rsidRPr="00CA13A7">
        <w:rPr>
          <w:color w:val="000000"/>
          <w:sz w:val="20"/>
          <w:szCs w:val="20"/>
          <w:lang w:val="pt-BR"/>
        </w:rPr>
        <w:t xml:space="preserve">3.1.1. </w:t>
      </w:r>
      <w:r w:rsidRPr="00CA13A7">
        <w:rPr>
          <w:sz w:val="20"/>
          <w:szCs w:val="20"/>
          <w:lang w:val="pt-BR"/>
        </w:rPr>
        <w:t>Plano Nacional de Energia 2050</w:t>
      </w:r>
    </w:p>
    <w:p w14:paraId="2041E7CB" w14:textId="77777777" w:rsidR="00DF4FF0" w:rsidRPr="00CA13A7" w:rsidRDefault="00000000">
      <w:pPr>
        <w:ind w:firstLine="425"/>
        <w:rPr>
          <w:sz w:val="20"/>
          <w:szCs w:val="20"/>
          <w:lang w:val="pt-BR"/>
        </w:rPr>
      </w:pPr>
      <w:r w:rsidRPr="00CA13A7">
        <w:rPr>
          <w:sz w:val="20"/>
          <w:szCs w:val="20"/>
          <w:lang w:val="pt-BR"/>
        </w:rPr>
        <w:t xml:space="preserve">Elaborado a partir das diversas características e cenários da transição energética [4], publicado em 16 de dezembro de 2020, tem como objetivo auxiliar no planejamento da expansão do setor de energia do país, levando em consideração possíveis mudanças causadas por tecnologias disruptivas, como o hidrogênio. Nesse contexto, o PNE 2050 destaca o importante papel do hidrogênio e dos combustíveis à base de hidrogênio como alternativa para impulsionar a economia de baixo carbono.               </w:t>
      </w:r>
    </w:p>
    <w:p w14:paraId="2041E7CC" w14:textId="77777777" w:rsidR="00DF4FF0" w:rsidRPr="00CA13A7" w:rsidRDefault="00000000">
      <w:pPr>
        <w:spacing w:after="240"/>
        <w:ind w:firstLine="425"/>
        <w:rPr>
          <w:sz w:val="20"/>
          <w:szCs w:val="20"/>
          <w:lang w:val="pt-BR"/>
        </w:rPr>
      </w:pPr>
      <w:r w:rsidRPr="00CA13A7">
        <w:rPr>
          <w:sz w:val="20"/>
          <w:szCs w:val="20"/>
          <w:lang w:val="pt-BR"/>
        </w:rPr>
        <w:t>Para além disso, o plano enfatiza as principais rotas de produção do hidrogênio, por exemplo, via gás natural (hidrogênio cinza) que constitui o meio mais barato, porém poluente devido a emissão de gases do efeito estufa. Como também, por meio de fontes renováveis via eletrólise (hidrogênio verde), a forma mais limpa e mais cara, comparado ao custo de produção do hidrogênio cinza. Ademais, o PNE 2050 sugere que é necessário investir e elaborar a necessária normatização para a produção do hidrogênio, baseada no que já é bem reconhecido internacionalmente no que diz respeito a medição, equipamentos de geração a base de hidrogênio, normas de segurança e entre outros aspectos.</w:t>
      </w:r>
    </w:p>
    <w:p w14:paraId="2041E7CD" w14:textId="77777777" w:rsidR="00DF4FF0" w:rsidRPr="00CA13A7" w:rsidRDefault="00000000">
      <w:pPr>
        <w:pBdr>
          <w:top w:val="nil"/>
          <w:left w:val="nil"/>
          <w:bottom w:val="nil"/>
          <w:right w:val="nil"/>
          <w:between w:val="nil"/>
        </w:pBdr>
        <w:spacing w:before="240" w:after="120"/>
        <w:jc w:val="left"/>
        <w:rPr>
          <w:i/>
          <w:sz w:val="20"/>
          <w:szCs w:val="20"/>
          <w:lang w:val="pt-BR"/>
        </w:rPr>
      </w:pPr>
      <w:r w:rsidRPr="00CA13A7">
        <w:rPr>
          <w:i/>
          <w:color w:val="000000"/>
          <w:sz w:val="20"/>
          <w:szCs w:val="20"/>
          <w:lang w:val="pt-BR"/>
        </w:rPr>
        <w:t xml:space="preserve">3.2. </w:t>
      </w:r>
      <w:r w:rsidRPr="00CA13A7">
        <w:rPr>
          <w:i/>
          <w:sz w:val="20"/>
          <w:szCs w:val="20"/>
          <w:lang w:val="pt-BR"/>
        </w:rPr>
        <w:t>Instrumentos regulatórios: ano de 2021</w:t>
      </w:r>
    </w:p>
    <w:p w14:paraId="2041E7CE" w14:textId="77777777" w:rsidR="00DF4FF0" w:rsidRPr="00CA13A7" w:rsidRDefault="00000000">
      <w:pPr>
        <w:ind w:firstLine="425"/>
        <w:rPr>
          <w:sz w:val="20"/>
          <w:szCs w:val="20"/>
          <w:lang w:val="pt-BR"/>
        </w:rPr>
      </w:pPr>
      <w:r w:rsidRPr="00CA13A7">
        <w:rPr>
          <w:sz w:val="20"/>
          <w:szCs w:val="20"/>
          <w:lang w:val="pt-BR"/>
        </w:rPr>
        <w:t>Após a publicação do PNE 2050, no ano de 2021, houve uma expressiva movimentação no que tange a publicação de resoluções, notas técnicas e estudos a respeito do hidrogênio, principalmente o de baixa emissão de carbono, a primeira dessas resoluções foi a nº 2 do Conselho Nacional de Política Energética (CNPE).</w:t>
      </w:r>
    </w:p>
    <w:p w14:paraId="2041E7CF" w14:textId="77777777" w:rsidR="00DF4FF0" w:rsidRPr="00CA13A7" w:rsidRDefault="00000000">
      <w:pPr>
        <w:spacing w:before="240" w:after="120"/>
        <w:jc w:val="left"/>
        <w:rPr>
          <w:sz w:val="20"/>
          <w:szCs w:val="20"/>
          <w:lang w:val="pt-BR"/>
        </w:rPr>
      </w:pPr>
      <w:r w:rsidRPr="00CA13A7">
        <w:rPr>
          <w:sz w:val="20"/>
          <w:szCs w:val="20"/>
          <w:lang w:val="pt-BR"/>
        </w:rPr>
        <w:t>3.2.1. Resolução nº2 / 2021 do CNPE</w:t>
      </w:r>
    </w:p>
    <w:p w14:paraId="2041E7D0" w14:textId="77777777" w:rsidR="00DF4FF0" w:rsidRPr="00CA13A7" w:rsidRDefault="00000000">
      <w:pPr>
        <w:ind w:firstLine="425"/>
        <w:rPr>
          <w:sz w:val="20"/>
          <w:szCs w:val="20"/>
          <w:lang w:val="pt-BR"/>
        </w:rPr>
      </w:pPr>
      <w:r w:rsidRPr="00CA13A7">
        <w:rPr>
          <w:sz w:val="20"/>
          <w:szCs w:val="20"/>
          <w:lang w:val="pt-BR"/>
        </w:rPr>
        <w:t>Publicada em 10 de fevereiro de 2021, [7] estabeleceu, dentre outras coisas, orientações para a Agência Nacional de Energia Elétrica (ANEEL) e a Agência Nacional de Petróleo, Gás Natural e Biocombustíveis (ANP), sobre a disposição dos seus recursos para o desenvolvimento de pesquisa e inovação no setor de energia centradas em alguns temas, dentre eles o hidrogênio. Além disso, determinou um prazo de 60 dias para que o Ministério de Minas e Energia avaliar, junto ao Ministério da Economia, a possibilidade e forma de destinação dos recursos de pesquisa para a Empresa de Pesquisa Energética (EPE).</w:t>
      </w:r>
    </w:p>
    <w:p w14:paraId="2041E7D1" w14:textId="77777777" w:rsidR="00DF4FF0" w:rsidRPr="00CA13A7" w:rsidRDefault="00000000">
      <w:pPr>
        <w:spacing w:before="240" w:after="120"/>
        <w:jc w:val="left"/>
        <w:rPr>
          <w:sz w:val="20"/>
          <w:szCs w:val="20"/>
          <w:lang w:val="pt-BR"/>
        </w:rPr>
      </w:pPr>
      <w:r w:rsidRPr="00CA13A7">
        <w:rPr>
          <w:sz w:val="20"/>
          <w:szCs w:val="20"/>
          <w:lang w:val="pt-BR"/>
        </w:rPr>
        <w:t>3.2.2. Nota técnica: “Bases para a consolidação da estratégia brasileira do hidrogênio”</w:t>
      </w:r>
    </w:p>
    <w:p w14:paraId="2041E7D2" w14:textId="77777777" w:rsidR="00DF4FF0" w:rsidRPr="00CA13A7" w:rsidRDefault="00000000">
      <w:pPr>
        <w:ind w:firstLine="425"/>
        <w:rPr>
          <w:sz w:val="20"/>
          <w:szCs w:val="20"/>
          <w:lang w:val="pt-BR"/>
        </w:rPr>
      </w:pPr>
      <w:r w:rsidRPr="00CA13A7">
        <w:rPr>
          <w:sz w:val="20"/>
          <w:szCs w:val="20"/>
          <w:lang w:val="pt-BR"/>
        </w:rPr>
        <w:t>Posteriormente, em 23 de fevereiro de 2021, a EPE publicou [8], tendo como objetivo abordar pontos importantes para a construção da estratégia brasileira no hidrogênio, trazendo aspectos conceituais e fundamentais. O estudo realizou um panorama da indústria do hidrogênio, os desafios, evoluções tecnológicas, custos, estratégias e um levantamento histórico acerca das ações nacionais voltadas ao desenvolvimento do hidrogênio. Em sua conclusão, sugeriu que a pesquisa e produção do hidrogênio não deve se limitar a um único tipo, deve-se adotar uma estratégia de Hidrogênio “Arco-íris”, levando em conta a diversidade de recursos energéticos do país e a possibilidade de barateamento de formas de produção que ainda hoje são mais caras, como a do hidrogênio verde, sendo essa abordagem mais consistente e promissora para a descarbonização dos sistemas energéticos do país.</w:t>
      </w:r>
    </w:p>
    <w:p w14:paraId="2041E7D3" w14:textId="77777777" w:rsidR="00DF4FF0" w:rsidRPr="00CA13A7" w:rsidRDefault="00000000">
      <w:pPr>
        <w:pBdr>
          <w:top w:val="nil"/>
          <w:left w:val="nil"/>
          <w:bottom w:val="nil"/>
          <w:right w:val="nil"/>
          <w:between w:val="nil"/>
        </w:pBdr>
        <w:spacing w:before="240" w:after="120"/>
        <w:jc w:val="left"/>
        <w:rPr>
          <w:sz w:val="20"/>
          <w:szCs w:val="20"/>
          <w:lang w:val="pt-BR"/>
        </w:rPr>
      </w:pPr>
      <w:r w:rsidRPr="00CA13A7">
        <w:rPr>
          <w:sz w:val="20"/>
          <w:szCs w:val="20"/>
          <w:lang w:val="pt-BR"/>
        </w:rPr>
        <w:t>3.2.3. Pacto energético sobre o uso de hidrogênio verde</w:t>
      </w:r>
    </w:p>
    <w:p w14:paraId="2041E7D4" w14:textId="77777777" w:rsidR="00DF4FF0" w:rsidRPr="00CA13A7" w:rsidRDefault="00000000">
      <w:pPr>
        <w:ind w:firstLine="425"/>
        <w:rPr>
          <w:sz w:val="20"/>
          <w:szCs w:val="20"/>
          <w:lang w:val="pt-BR"/>
        </w:rPr>
      </w:pPr>
      <w:r w:rsidRPr="00CA13A7">
        <w:rPr>
          <w:sz w:val="20"/>
          <w:szCs w:val="20"/>
          <w:lang w:val="pt-BR"/>
        </w:rPr>
        <w:t xml:space="preserve">No final do mês de junho do ano de 2021, o Brasil participou do Fórum Ministerial do Diálogo em Alto Nível das Nações Unidas sobre Energia. Neste evento virtual, o governo brasileiro anunciou dois pactos energéticos governamentais, </w:t>
      </w:r>
      <w:proofErr w:type="spellStart"/>
      <w:r w:rsidRPr="00CA13A7">
        <w:rPr>
          <w:sz w:val="20"/>
          <w:szCs w:val="20"/>
          <w:lang w:val="pt-BR"/>
        </w:rPr>
        <w:t>energy</w:t>
      </w:r>
      <w:proofErr w:type="spellEnd"/>
      <w:r w:rsidRPr="00CA13A7">
        <w:rPr>
          <w:sz w:val="20"/>
          <w:szCs w:val="20"/>
          <w:lang w:val="pt-BR"/>
        </w:rPr>
        <w:t xml:space="preserve"> </w:t>
      </w:r>
      <w:proofErr w:type="spellStart"/>
      <w:r w:rsidRPr="00CA13A7">
        <w:rPr>
          <w:sz w:val="20"/>
          <w:szCs w:val="20"/>
          <w:lang w:val="pt-BR"/>
        </w:rPr>
        <w:t>compacts</w:t>
      </w:r>
      <w:proofErr w:type="spellEnd"/>
      <w:r w:rsidRPr="00CA13A7">
        <w:rPr>
          <w:sz w:val="20"/>
          <w:szCs w:val="20"/>
          <w:lang w:val="pt-BR"/>
        </w:rPr>
        <w:t xml:space="preserve">, compromissos voluntários no âmbito de biocombustíveis e hidrogênio, com a finalidade na contribuição nacional para acelerar o cumprimento das metas do Objetivo de Desenvolvimento Sustentável 7, que tem relação com o uso universal de energias limpas. </w:t>
      </w:r>
    </w:p>
    <w:p w14:paraId="2041E7D5" w14:textId="77777777" w:rsidR="00DF4FF0" w:rsidRPr="00CA13A7" w:rsidRDefault="00000000">
      <w:pPr>
        <w:ind w:firstLine="425"/>
        <w:rPr>
          <w:sz w:val="20"/>
          <w:szCs w:val="20"/>
          <w:lang w:val="pt-BR"/>
        </w:rPr>
      </w:pPr>
      <w:r w:rsidRPr="00CA13A7">
        <w:rPr>
          <w:sz w:val="20"/>
          <w:szCs w:val="20"/>
          <w:lang w:val="pt-BR"/>
        </w:rPr>
        <w:t>No pacto energético sobre o uso de hidrogênio verde, o foco está voltado para auxiliar a consolidação da economia do H2 no Brasil, por meio da alocação de recursos para políticas de pesquisa, desenvolvimento e inovação. Ademais, o programa buscava estimular a capacitação e treinamento das pessoas, estabelecendo uma plataforma digital para estruturar dados e informações sobre o setor de hidrogênio no território brasileiro. Junto ao governo, grandes empresas brasileiras, como Itaipu Binacional, estão empenhadas nas discussões acerca do Diálogo de Alto Nível sobre Energia e consideram a adoção de pactos energéticos próprios [9].</w:t>
      </w:r>
    </w:p>
    <w:p w14:paraId="2041E7D6" w14:textId="77777777" w:rsidR="00DF4FF0" w:rsidRPr="00CA13A7" w:rsidRDefault="00000000">
      <w:pPr>
        <w:spacing w:before="240" w:after="120"/>
        <w:jc w:val="left"/>
        <w:rPr>
          <w:sz w:val="20"/>
          <w:szCs w:val="20"/>
          <w:lang w:val="pt-BR"/>
        </w:rPr>
      </w:pPr>
      <w:r w:rsidRPr="00CA13A7">
        <w:rPr>
          <w:sz w:val="20"/>
          <w:szCs w:val="20"/>
          <w:lang w:val="pt-BR"/>
        </w:rPr>
        <w:t>3.2.4. Resolução n°6 / 2021 do CNPE</w:t>
      </w:r>
    </w:p>
    <w:p w14:paraId="2041E7D7" w14:textId="77777777" w:rsidR="00DF4FF0" w:rsidRPr="00CA13A7" w:rsidRDefault="00000000">
      <w:pPr>
        <w:spacing w:after="200"/>
        <w:ind w:firstLine="425"/>
        <w:rPr>
          <w:sz w:val="20"/>
          <w:szCs w:val="20"/>
          <w:lang w:val="pt-BR"/>
        </w:rPr>
      </w:pPr>
      <w:r w:rsidRPr="00CA13A7">
        <w:rPr>
          <w:sz w:val="20"/>
          <w:szCs w:val="20"/>
          <w:lang w:val="pt-BR"/>
        </w:rPr>
        <w:t>Em 20 de abril do mesmo ano, foi lançada a Resolução n°6/2021 pelo CNPE. Tal Resolução determinava ao Ministério de Minas e Energia, num prazo de até 60 dias, deveria apresentar propostas de diretrizes para o Programa Nacional de Hidrogênio. A Resolução ainda trata sobre o interesse em desenvolver o mercado de hidrogênio no Brasil, a cooperação internacional para o avanço tecnológico, a diversidade da aplicação do hidrogênio na economia, entre outros. Vale mencionar que no ano de 2022, a Resolução n°6/2021 foi revisada de acordo com [10].</w:t>
      </w:r>
    </w:p>
    <w:p w14:paraId="2041E7D8" w14:textId="77777777" w:rsidR="00DF4FF0" w:rsidRPr="00CA13A7" w:rsidRDefault="00000000">
      <w:pPr>
        <w:spacing w:after="120"/>
        <w:jc w:val="left"/>
        <w:rPr>
          <w:sz w:val="20"/>
          <w:szCs w:val="20"/>
          <w:lang w:val="pt-BR"/>
        </w:rPr>
      </w:pPr>
      <w:r w:rsidRPr="00CA13A7">
        <w:rPr>
          <w:sz w:val="20"/>
          <w:szCs w:val="20"/>
          <w:lang w:val="pt-BR"/>
        </w:rPr>
        <w:t>3.2.5. Programa Nacional do Hidrogênio (PNH2)</w:t>
      </w:r>
    </w:p>
    <w:p w14:paraId="2041E7D9" w14:textId="77777777" w:rsidR="00DF4FF0" w:rsidRPr="00CA13A7" w:rsidRDefault="00000000">
      <w:pPr>
        <w:ind w:firstLine="425"/>
        <w:rPr>
          <w:sz w:val="20"/>
          <w:szCs w:val="20"/>
          <w:lang w:val="pt-BR"/>
        </w:rPr>
      </w:pPr>
      <w:r w:rsidRPr="00CA13A7">
        <w:rPr>
          <w:sz w:val="20"/>
          <w:szCs w:val="20"/>
          <w:lang w:val="pt-BR"/>
        </w:rPr>
        <w:t>Em 2021, o Programa Nacional do Hidrogênio (PNH2) foi instituído com o objetivo de fortalecer o mercado e a indústria do hidrogênio no Brasil. Este Programa foi concebido como um esforço coordenado para potencializar as capacidades do país no desenvolvimento e na utilização do hidrogênio, alinhando-se às tendências globais de transição energética e ao compromisso do Brasil com uma economia de baixo carbono.</w:t>
      </w:r>
    </w:p>
    <w:p w14:paraId="2041E7DA" w14:textId="77777777" w:rsidR="00DF4FF0" w:rsidRPr="00CA13A7" w:rsidRDefault="00000000">
      <w:pPr>
        <w:ind w:firstLine="425"/>
        <w:rPr>
          <w:sz w:val="20"/>
          <w:szCs w:val="20"/>
          <w:lang w:val="pt-BR"/>
        </w:rPr>
      </w:pPr>
      <w:r w:rsidRPr="00CA13A7">
        <w:rPr>
          <w:sz w:val="20"/>
          <w:szCs w:val="20"/>
          <w:lang w:val="pt-BR"/>
        </w:rPr>
        <w:t>Além do exposto, [11] delineia eixos que guiarão as ações do programa, como o fortalecimento das bases científico-tecnológicas, capacitação de recursos humanos, planejamento energético, arcabouço legal e regulatório-normativo, abertura e crescimento do mercado e competitividade, e cooperação internacional. Cada um desses eixos foca em aspectos críticos para o desenvolvimento do hidrogênio no Brasil.</w:t>
      </w:r>
    </w:p>
    <w:p w14:paraId="2041E7DB" w14:textId="77777777" w:rsidR="00DF4FF0" w:rsidRPr="00CA13A7" w:rsidRDefault="00000000">
      <w:pPr>
        <w:ind w:firstLine="425"/>
        <w:rPr>
          <w:sz w:val="20"/>
          <w:szCs w:val="20"/>
          <w:lang w:val="pt-BR"/>
        </w:rPr>
      </w:pPr>
      <w:r w:rsidRPr="00CA13A7">
        <w:rPr>
          <w:sz w:val="20"/>
          <w:szCs w:val="20"/>
          <w:lang w:val="pt-BR"/>
        </w:rPr>
        <w:t>Logo, o PNH2 está estruturado em seis eixos temáticos, conforme mostrado na Tabela 1, que aborda aspectos necessários para o desenvolvimento da economia do hidrogênio no país.</w:t>
      </w:r>
    </w:p>
    <w:p w14:paraId="2041E7DC" w14:textId="77777777" w:rsidR="00DF4FF0" w:rsidRDefault="00000000">
      <w:pPr>
        <w:spacing w:before="240" w:after="120"/>
        <w:ind w:left="425" w:right="425"/>
        <w:jc w:val="center"/>
        <w:rPr>
          <w:sz w:val="18"/>
          <w:szCs w:val="18"/>
        </w:rPr>
      </w:pPr>
      <w:proofErr w:type="spellStart"/>
      <w:r>
        <w:rPr>
          <w:smallCaps/>
          <w:sz w:val="18"/>
          <w:szCs w:val="18"/>
        </w:rPr>
        <w:t>Tabela</w:t>
      </w:r>
      <w:proofErr w:type="spellEnd"/>
      <w:r>
        <w:rPr>
          <w:smallCaps/>
          <w:sz w:val="18"/>
          <w:szCs w:val="18"/>
        </w:rPr>
        <w:t xml:space="preserve"> 1.</w:t>
      </w:r>
      <w:r>
        <w:rPr>
          <w:sz w:val="18"/>
          <w:szCs w:val="18"/>
        </w:rPr>
        <w:t xml:space="preserve"> </w:t>
      </w:r>
      <w:proofErr w:type="spellStart"/>
      <w:r>
        <w:rPr>
          <w:sz w:val="18"/>
          <w:szCs w:val="18"/>
        </w:rPr>
        <w:t>Eixos</w:t>
      </w:r>
      <w:proofErr w:type="spellEnd"/>
      <w:r>
        <w:rPr>
          <w:sz w:val="18"/>
          <w:szCs w:val="18"/>
        </w:rPr>
        <w:t xml:space="preserve"> do PNH2.</w:t>
      </w:r>
    </w:p>
    <w:tbl>
      <w:tblPr>
        <w:tblStyle w:val="a"/>
        <w:tblW w:w="85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05"/>
        <w:gridCol w:w="4575"/>
      </w:tblGrid>
      <w:tr w:rsidR="00DF4FF0" w14:paraId="2041E7DF" w14:textId="77777777">
        <w:tc>
          <w:tcPr>
            <w:tcW w:w="4005" w:type="dxa"/>
            <w:tcBorders>
              <w:top w:val="single" w:sz="6" w:space="0" w:color="000000"/>
              <w:left w:val="nil"/>
              <w:bottom w:val="single" w:sz="6" w:space="0" w:color="000000"/>
              <w:right w:val="single" w:sz="6" w:space="0" w:color="000000"/>
            </w:tcBorders>
            <w:tcMar>
              <w:top w:w="-547" w:type="dxa"/>
              <w:left w:w="-547" w:type="dxa"/>
              <w:bottom w:w="-547" w:type="dxa"/>
              <w:right w:w="-547" w:type="dxa"/>
            </w:tcMar>
            <w:vAlign w:val="center"/>
          </w:tcPr>
          <w:p w14:paraId="2041E7DD" w14:textId="77777777" w:rsidR="00DF4FF0" w:rsidRDefault="00000000">
            <w:pPr>
              <w:spacing w:line="276" w:lineRule="auto"/>
              <w:jc w:val="center"/>
              <w:rPr>
                <w:sz w:val="20"/>
                <w:szCs w:val="20"/>
              </w:rPr>
            </w:pPr>
            <w:proofErr w:type="spellStart"/>
            <w:r>
              <w:rPr>
                <w:sz w:val="20"/>
                <w:szCs w:val="20"/>
              </w:rPr>
              <w:t>Eixo</w:t>
            </w:r>
            <w:proofErr w:type="spellEnd"/>
          </w:p>
        </w:tc>
        <w:tc>
          <w:tcPr>
            <w:tcW w:w="4575" w:type="dxa"/>
            <w:tcBorders>
              <w:top w:val="single" w:sz="6" w:space="0" w:color="000000"/>
              <w:left w:val="nil"/>
              <w:bottom w:val="single" w:sz="6" w:space="0" w:color="000000"/>
              <w:right w:val="nil"/>
            </w:tcBorders>
            <w:tcMar>
              <w:top w:w="-547" w:type="dxa"/>
              <w:left w:w="-547" w:type="dxa"/>
              <w:bottom w:w="-547" w:type="dxa"/>
              <w:right w:w="-547" w:type="dxa"/>
            </w:tcMar>
            <w:vAlign w:val="center"/>
          </w:tcPr>
          <w:p w14:paraId="2041E7DE" w14:textId="77777777" w:rsidR="00DF4FF0" w:rsidRDefault="00000000">
            <w:pPr>
              <w:spacing w:line="276" w:lineRule="auto"/>
              <w:jc w:val="center"/>
              <w:rPr>
                <w:sz w:val="20"/>
                <w:szCs w:val="20"/>
              </w:rPr>
            </w:pPr>
            <w:proofErr w:type="spellStart"/>
            <w:r>
              <w:rPr>
                <w:sz w:val="20"/>
                <w:szCs w:val="20"/>
              </w:rPr>
              <w:t>Descrição</w:t>
            </w:r>
            <w:proofErr w:type="spellEnd"/>
          </w:p>
        </w:tc>
      </w:tr>
      <w:tr w:rsidR="00DF4FF0" w:rsidRPr="00CA13A7" w14:paraId="2041E7E2" w14:textId="77777777">
        <w:trPr>
          <w:trHeight w:val="765"/>
        </w:trPr>
        <w:tc>
          <w:tcPr>
            <w:tcW w:w="400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2041E7E0" w14:textId="77777777" w:rsidR="00DF4FF0" w:rsidRPr="00CA13A7" w:rsidRDefault="00000000">
            <w:pPr>
              <w:spacing w:line="276" w:lineRule="auto"/>
              <w:jc w:val="center"/>
              <w:rPr>
                <w:sz w:val="20"/>
                <w:szCs w:val="20"/>
                <w:lang w:val="pt-BR"/>
              </w:rPr>
            </w:pPr>
            <w:r w:rsidRPr="00CA13A7">
              <w:rPr>
                <w:sz w:val="20"/>
                <w:szCs w:val="20"/>
                <w:lang w:val="pt-BR"/>
              </w:rPr>
              <w:t>Fortalecimento das Bases Científico-tecnológicas</w:t>
            </w:r>
          </w:p>
        </w:tc>
        <w:tc>
          <w:tcPr>
            <w:tcW w:w="4575" w:type="dxa"/>
            <w:tcBorders>
              <w:top w:val="nil"/>
              <w:left w:val="nil"/>
              <w:bottom w:val="single" w:sz="6" w:space="0" w:color="000000"/>
              <w:right w:val="nil"/>
            </w:tcBorders>
            <w:tcMar>
              <w:top w:w="20" w:type="dxa"/>
              <w:left w:w="20" w:type="dxa"/>
              <w:bottom w:w="20" w:type="dxa"/>
              <w:right w:w="20" w:type="dxa"/>
            </w:tcMar>
            <w:vAlign w:val="center"/>
          </w:tcPr>
          <w:p w14:paraId="2041E7E1" w14:textId="77777777" w:rsidR="00DF4FF0" w:rsidRPr="00CA13A7" w:rsidRDefault="00000000">
            <w:pPr>
              <w:spacing w:line="276" w:lineRule="auto"/>
              <w:jc w:val="center"/>
              <w:rPr>
                <w:sz w:val="20"/>
                <w:szCs w:val="20"/>
                <w:lang w:val="pt-BR"/>
              </w:rPr>
            </w:pPr>
            <w:r w:rsidRPr="00CA13A7">
              <w:rPr>
                <w:sz w:val="20"/>
                <w:szCs w:val="20"/>
                <w:lang w:val="pt-BR"/>
              </w:rPr>
              <w:t>Mapeamento de investimentos e iniciativas, identificação de instituições, superação de desafios e apoio à pesquisa e desenvolvimento.</w:t>
            </w:r>
          </w:p>
        </w:tc>
      </w:tr>
      <w:tr w:rsidR="00DF4FF0" w:rsidRPr="00CA13A7" w14:paraId="2041E7E5" w14:textId="77777777">
        <w:trPr>
          <w:trHeight w:val="525"/>
        </w:trPr>
        <w:tc>
          <w:tcPr>
            <w:tcW w:w="400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2041E7E3" w14:textId="77777777" w:rsidR="00DF4FF0" w:rsidRDefault="00000000">
            <w:pPr>
              <w:spacing w:line="276" w:lineRule="auto"/>
              <w:jc w:val="center"/>
              <w:rPr>
                <w:sz w:val="20"/>
                <w:szCs w:val="20"/>
              </w:rPr>
            </w:pPr>
            <w:proofErr w:type="spellStart"/>
            <w:r>
              <w:rPr>
                <w:sz w:val="20"/>
                <w:szCs w:val="20"/>
              </w:rPr>
              <w:t>Capacitação</w:t>
            </w:r>
            <w:proofErr w:type="spellEnd"/>
            <w:r>
              <w:rPr>
                <w:sz w:val="20"/>
                <w:szCs w:val="20"/>
              </w:rPr>
              <w:t xml:space="preserve"> de </w:t>
            </w:r>
            <w:proofErr w:type="spellStart"/>
            <w:r>
              <w:rPr>
                <w:sz w:val="20"/>
                <w:szCs w:val="20"/>
              </w:rPr>
              <w:t>Recursos</w:t>
            </w:r>
            <w:proofErr w:type="spellEnd"/>
            <w:r>
              <w:rPr>
                <w:sz w:val="20"/>
                <w:szCs w:val="20"/>
              </w:rPr>
              <w:t xml:space="preserve"> Humanos</w:t>
            </w:r>
          </w:p>
        </w:tc>
        <w:tc>
          <w:tcPr>
            <w:tcW w:w="4575" w:type="dxa"/>
            <w:tcBorders>
              <w:top w:val="nil"/>
              <w:left w:val="nil"/>
              <w:bottom w:val="single" w:sz="6" w:space="0" w:color="000000"/>
              <w:right w:val="nil"/>
            </w:tcBorders>
            <w:tcMar>
              <w:top w:w="20" w:type="dxa"/>
              <w:left w:w="20" w:type="dxa"/>
              <w:bottom w:w="20" w:type="dxa"/>
              <w:right w:w="20" w:type="dxa"/>
            </w:tcMar>
            <w:vAlign w:val="center"/>
          </w:tcPr>
          <w:p w14:paraId="2041E7E4" w14:textId="77777777" w:rsidR="00DF4FF0" w:rsidRPr="00CA13A7" w:rsidRDefault="00000000">
            <w:pPr>
              <w:spacing w:line="276" w:lineRule="auto"/>
              <w:jc w:val="center"/>
              <w:rPr>
                <w:sz w:val="20"/>
                <w:szCs w:val="20"/>
                <w:lang w:val="pt-BR"/>
              </w:rPr>
            </w:pPr>
            <w:r w:rsidRPr="00CA13A7">
              <w:rPr>
                <w:sz w:val="20"/>
                <w:szCs w:val="20"/>
                <w:lang w:val="pt-BR"/>
              </w:rPr>
              <w:t>Capacitação técnica e profissional, desenvolvimento de currículos acadêmicos e intercâmbio entre setores.</w:t>
            </w:r>
          </w:p>
        </w:tc>
      </w:tr>
      <w:tr w:rsidR="00DF4FF0" w:rsidRPr="00CA13A7" w14:paraId="2041E7E8" w14:textId="77777777">
        <w:trPr>
          <w:trHeight w:val="525"/>
        </w:trPr>
        <w:tc>
          <w:tcPr>
            <w:tcW w:w="400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2041E7E6" w14:textId="77777777" w:rsidR="00DF4FF0" w:rsidRDefault="00000000">
            <w:pPr>
              <w:spacing w:line="276" w:lineRule="auto"/>
              <w:jc w:val="center"/>
              <w:rPr>
                <w:sz w:val="20"/>
                <w:szCs w:val="20"/>
              </w:rPr>
            </w:pPr>
            <w:proofErr w:type="spellStart"/>
            <w:r>
              <w:rPr>
                <w:sz w:val="20"/>
                <w:szCs w:val="20"/>
              </w:rPr>
              <w:t>Planejamento</w:t>
            </w:r>
            <w:proofErr w:type="spellEnd"/>
            <w:r>
              <w:rPr>
                <w:sz w:val="20"/>
                <w:szCs w:val="20"/>
              </w:rPr>
              <w:t xml:space="preserve"> </w:t>
            </w:r>
            <w:proofErr w:type="spellStart"/>
            <w:r>
              <w:rPr>
                <w:sz w:val="20"/>
                <w:szCs w:val="20"/>
              </w:rPr>
              <w:t>Energético</w:t>
            </w:r>
            <w:proofErr w:type="spellEnd"/>
          </w:p>
        </w:tc>
        <w:tc>
          <w:tcPr>
            <w:tcW w:w="4575" w:type="dxa"/>
            <w:tcBorders>
              <w:top w:val="nil"/>
              <w:left w:val="nil"/>
              <w:bottom w:val="single" w:sz="6" w:space="0" w:color="000000"/>
              <w:right w:val="nil"/>
            </w:tcBorders>
            <w:tcMar>
              <w:top w:w="20" w:type="dxa"/>
              <w:left w:w="20" w:type="dxa"/>
              <w:bottom w:w="20" w:type="dxa"/>
              <w:right w:w="20" w:type="dxa"/>
            </w:tcMar>
            <w:vAlign w:val="center"/>
          </w:tcPr>
          <w:p w14:paraId="2041E7E7" w14:textId="77777777" w:rsidR="00DF4FF0" w:rsidRPr="00CA13A7" w:rsidRDefault="00000000">
            <w:pPr>
              <w:spacing w:line="276" w:lineRule="auto"/>
              <w:jc w:val="center"/>
              <w:rPr>
                <w:sz w:val="20"/>
                <w:szCs w:val="20"/>
                <w:lang w:val="pt-BR"/>
              </w:rPr>
            </w:pPr>
            <w:r w:rsidRPr="00CA13A7">
              <w:rPr>
                <w:sz w:val="20"/>
                <w:szCs w:val="20"/>
                <w:lang w:val="pt-BR"/>
              </w:rPr>
              <w:t>Estudos de demanda e oferta e mapeamento de estruturas geológicas.</w:t>
            </w:r>
          </w:p>
        </w:tc>
      </w:tr>
      <w:tr w:rsidR="00DF4FF0" w:rsidRPr="00CA13A7" w14:paraId="2041E7EB" w14:textId="77777777">
        <w:trPr>
          <w:trHeight w:val="525"/>
        </w:trPr>
        <w:tc>
          <w:tcPr>
            <w:tcW w:w="400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2041E7E9" w14:textId="77777777" w:rsidR="00DF4FF0" w:rsidRPr="00CA13A7" w:rsidRDefault="00000000">
            <w:pPr>
              <w:spacing w:line="276" w:lineRule="auto"/>
              <w:jc w:val="center"/>
              <w:rPr>
                <w:sz w:val="20"/>
                <w:szCs w:val="20"/>
                <w:lang w:val="pt-BR"/>
              </w:rPr>
            </w:pPr>
            <w:r w:rsidRPr="00CA13A7">
              <w:rPr>
                <w:sz w:val="20"/>
                <w:szCs w:val="20"/>
                <w:lang w:val="pt-BR"/>
              </w:rPr>
              <w:t>Arcabouço Legal e Regulatório-Normativo</w:t>
            </w:r>
          </w:p>
        </w:tc>
        <w:tc>
          <w:tcPr>
            <w:tcW w:w="4575" w:type="dxa"/>
            <w:tcBorders>
              <w:top w:val="nil"/>
              <w:left w:val="nil"/>
              <w:bottom w:val="single" w:sz="6" w:space="0" w:color="000000"/>
              <w:right w:val="nil"/>
            </w:tcBorders>
            <w:tcMar>
              <w:top w:w="20" w:type="dxa"/>
              <w:left w:w="20" w:type="dxa"/>
              <w:bottom w:w="20" w:type="dxa"/>
              <w:right w:w="20" w:type="dxa"/>
            </w:tcMar>
            <w:vAlign w:val="center"/>
          </w:tcPr>
          <w:p w14:paraId="2041E7EA" w14:textId="77777777" w:rsidR="00DF4FF0" w:rsidRPr="00CA13A7" w:rsidRDefault="00000000">
            <w:pPr>
              <w:spacing w:line="276" w:lineRule="auto"/>
              <w:jc w:val="center"/>
              <w:rPr>
                <w:sz w:val="20"/>
                <w:szCs w:val="20"/>
                <w:lang w:val="pt-BR"/>
              </w:rPr>
            </w:pPr>
            <w:r w:rsidRPr="00CA13A7">
              <w:rPr>
                <w:sz w:val="20"/>
                <w:szCs w:val="20"/>
                <w:lang w:val="pt-BR"/>
              </w:rPr>
              <w:t>Mapeamento das legislações existentes, criação de normativos e cooperação entre Agências Reguladoras.</w:t>
            </w:r>
          </w:p>
        </w:tc>
      </w:tr>
      <w:tr w:rsidR="00DF4FF0" w:rsidRPr="00CA13A7" w14:paraId="2041E7EE" w14:textId="77777777">
        <w:trPr>
          <w:trHeight w:val="525"/>
        </w:trPr>
        <w:tc>
          <w:tcPr>
            <w:tcW w:w="400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2041E7EC" w14:textId="77777777" w:rsidR="00DF4FF0" w:rsidRPr="00CA13A7" w:rsidRDefault="00000000">
            <w:pPr>
              <w:spacing w:line="276" w:lineRule="auto"/>
              <w:jc w:val="center"/>
              <w:rPr>
                <w:sz w:val="20"/>
                <w:szCs w:val="20"/>
                <w:lang w:val="pt-BR"/>
              </w:rPr>
            </w:pPr>
            <w:r w:rsidRPr="00CA13A7">
              <w:rPr>
                <w:sz w:val="20"/>
                <w:szCs w:val="20"/>
                <w:lang w:val="pt-BR"/>
              </w:rPr>
              <w:t>Abertura e Crescimento do mercado e Competitividade</w:t>
            </w:r>
          </w:p>
        </w:tc>
        <w:tc>
          <w:tcPr>
            <w:tcW w:w="4575" w:type="dxa"/>
            <w:tcBorders>
              <w:top w:val="nil"/>
              <w:left w:val="nil"/>
              <w:bottom w:val="single" w:sz="6" w:space="0" w:color="000000"/>
              <w:right w:val="nil"/>
            </w:tcBorders>
            <w:tcMar>
              <w:top w:w="20" w:type="dxa"/>
              <w:left w:w="20" w:type="dxa"/>
              <w:bottom w:w="20" w:type="dxa"/>
              <w:right w:w="20" w:type="dxa"/>
            </w:tcMar>
            <w:vAlign w:val="center"/>
          </w:tcPr>
          <w:p w14:paraId="2041E7ED" w14:textId="77777777" w:rsidR="00DF4FF0" w:rsidRPr="00CA13A7" w:rsidRDefault="00000000">
            <w:pPr>
              <w:spacing w:line="276" w:lineRule="auto"/>
              <w:jc w:val="center"/>
              <w:rPr>
                <w:sz w:val="20"/>
                <w:szCs w:val="20"/>
                <w:lang w:val="pt-BR"/>
              </w:rPr>
            </w:pPr>
            <w:r w:rsidRPr="00CA13A7">
              <w:rPr>
                <w:sz w:val="20"/>
                <w:szCs w:val="20"/>
                <w:lang w:val="pt-BR"/>
              </w:rPr>
              <w:t>Mapeamento da cadeia de valor e avaliação de aspectos tributários.</w:t>
            </w:r>
          </w:p>
        </w:tc>
      </w:tr>
      <w:tr w:rsidR="00DF4FF0" w:rsidRPr="00CA13A7" w14:paraId="2041E7F1" w14:textId="77777777">
        <w:trPr>
          <w:trHeight w:val="525"/>
        </w:trPr>
        <w:tc>
          <w:tcPr>
            <w:tcW w:w="4005" w:type="dxa"/>
            <w:tcBorders>
              <w:top w:val="nil"/>
              <w:left w:val="nil"/>
              <w:bottom w:val="single" w:sz="6" w:space="0" w:color="000000"/>
              <w:right w:val="single" w:sz="6" w:space="0" w:color="000000"/>
            </w:tcBorders>
            <w:tcMar>
              <w:top w:w="20" w:type="dxa"/>
              <w:left w:w="20" w:type="dxa"/>
              <w:bottom w:w="20" w:type="dxa"/>
              <w:right w:w="20" w:type="dxa"/>
            </w:tcMar>
            <w:vAlign w:val="center"/>
          </w:tcPr>
          <w:p w14:paraId="2041E7EF" w14:textId="77777777" w:rsidR="00DF4FF0" w:rsidRDefault="00000000">
            <w:pPr>
              <w:spacing w:line="276" w:lineRule="auto"/>
              <w:jc w:val="center"/>
              <w:rPr>
                <w:sz w:val="20"/>
                <w:szCs w:val="20"/>
              </w:rPr>
            </w:pPr>
            <w:proofErr w:type="spellStart"/>
            <w:r>
              <w:rPr>
                <w:sz w:val="20"/>
                <w:szCs w:val="20"/>
              </w:rPr>
              <w:t>Cooperação</w:t>
            </w:r>
            <w:proofErr w:type="spellEnd"/>
            <w:r>
              <w:rPr>
                <w:sz w:val="20"/>
                <w:szCs w:val="20"/>
              </w:rPr>
              <w:t xml:space="preserve"> Internacional</w:t>
            </w:r>
          </w:p>
        </w:tc>
        <w:tc>
          <w:tcPr>
            <w:tcW w:w="4575" w:type="dxa"/>
            <w:tcBorders>
              <w:top w:val="nil"/>
              <w:left w:val="nil"/>
              <w:bottom w:val="single" w:sz="6" w:space="0" w:color="000000"/>
              <w:right w:val="nil"/>
            </w:tcBorders>
            <w:tcMar>
              <w:top w:w="20" w:type="dxa"/>
              <w:left w:w="20" w:type="dxa"/>
              <w:bottom w:w="20" w:type="dxa"/>
              <w:right w:w="20" w:type="dxa"/>
            </w:tcMar>
            <w:vAlign w:val="center"/>
          </w:tcPr>
          <w:p w14:paraId="2041E7F0" w14:textId="77777777" w:rsidR="00DF4FF0" w:rsidRPr="00CA13A7" w:rsidRDefault="00000000">
            <w:pPr>
              <w:spacing w:line="276" w:lineRule="auto"/>
              <w:jc w:val="center"/>
              <w:rPr>
                <w:sz w:val="20"/>
                <w:szCs w:val="20"/>
                <w:lang w:val="pt-BR"/>
              </w:rPr>
            </w:pPr>
            <w:r w:rsidRPr="00CA13A7">
              <w:rPr>
                <w:sz w:val="20"/>
                <w:szCs w:val="20"/>
                <w:lang w:val="pt-BR"/>
              </w:rPr>
              <w:t>Diálogo internacional e atração de investimentos estrangeiros.</w:t>
            </w:r>
          </w:p>
        </w:tc>
      </w:tr>
    </w:tbl>
    <w:p w14:paraId="2041E7F2" w14:textId="77777777" w:rsidR="00DF4FF0" w:rsidRPr="00CA13A7" w:rsidRDefault="00000000">
      <w:pPr>
        <w:spacing w:after="240"/>
        <w:jc w:val="center"/>
        <w:rPr>
          <w:sz w:val="18"/>
          <w:szCs w:val="18"/>
          <w:lang w:val="pt-BR"/>
        </w:rPr>
      </w:pPr>
      <w:r w:rsidRPr="00CA13A7">
        <w:rPr>
          <w:sz w:val="18"/>
          <w:szCs w:val="18"/>
          <w:lang w:val="pt-BR"/>
        </w:rPr>
        <w:t xml:space="preserve">Fonte: Adaptado de PNH2  (2021). </w:t>
      </w:r>
    </w:p>
    <w:p w14:paraId="2041E7F3" w14:textId="77777777" w:rsidR="00DF4FF0" w:rsidRPr="00CA13A7" w:rsidRDefault="00000000">
      <w:pPr>
        <w:ind w:firstLine="425"/>
        <w:rPr>
          <w:sz w:val="20"/>
          <w:szCs w:val="20"/>
          <w:lang w:val="pt-BR"/>
        </w:rPr>
      </w:pPr>
      <w:r w:rsidRPr="00CA13A7">
        <w:rPr>
          <w:sz w:val="20"/>
          <w:szCs w:val="20"/>
          <w:lang w:val="pt-BR"/>
        </w:rPr>
        <w:t>O Comitê Gestor do Programa Nacional do Hidrogênio foi criado através de [10], e ficou responsável por coordenar as ações e diretrizes do PNH2. Este comitê é considerado fundamental para promover a colaboração entre diferentes ministérios, agências reguladoras e a indústria, assegurando uma abordagem integrada e multidisciplinar.</w:t>
      </w:r>
    </w:p>
    <w:p w14:paraId="2041E7F4" w14:textId="77777777" w:rsidR="00DF4FF0" w:rsidRPr="00CA13A7" w:rsidRDefault="00000000">
      <w:pPr>
        <w:spacing w:before="200" w:after="120"/>
        <w:jc w:val="left"/>
        <w:rPr>
          <w:sz w:val="20"/>
          <w:szCs w:val="20"/>
          <w:lang w:val="pt-BR"/>
        </w:rPr>
      </w:pPr>
      <w:r w:rsidRPr="00CA13A7">
        <w:rPr>
          <w:i/>
          <w:sz w:val="20"/>
          <w:szCs w:val="20"/>
          <w:lang w:val="pt-BR"/>
        </w:rPr>
        <w:t>3.3. Instrumentos regulatórios: ano de 2022</w:t>
      </w:r>
    </w:p>
    <w:p w14:paraId="2041E7F5" w14:textId="77777777" w:rsidR="00DF4FF0" w:rsidRPr="00CA13A7" w:rsidRDefault="00000000">
      <w:pPr>
        <w:spacing w:before="200"/>
        <w:ind w:firstLine="425"/>
        <w:rPr>
          <w:sz w:val="20"/>
          <w:szCs w:val="20"/>
          <w:lang w:val="pt-BR"/>
        </w:rPr>
      </w:pPr>
      <w:r w:rsidRPr="00CA13A7">
        <w:rPr>
          <w:sz w:val="20"/>
          <w:szCs w:val="20"/>
          <w:lang w:val="pt-BR"/>
        </w:rPr>
        <w:t>No ano de 2022, foi publicado o Projeto de lei nº 725 e houve uma atualização da Resolução n°6  do CNPE, ambos com importantes iniciativas que têm impacto não só nacional, mas também internacional e global no que se refere à produção e comercialização internacional do hidrogênio produzido no Brasil.</w:t>
      </w:r>
    </w:p>
    <w:p w14:paraId="2041E7F6" w14:textId="77777777" w:rsidR="00DF4FF0" w:rsidRPr="00CA13A7" w:rsidRDefault="00000000">
      <w:pPr>
        <w:spacing w:before="200"/>
        <w:rPr>
          <w:sz w:val="20"/>
          <w:szCs w:val="20"/>
          <w:lang w:val="pt-BR"/>
        </w:rPr>
      </w:pPr>
      <w:r w:rsidRPr="00CA13A7">
        <w:rPr>
          <w:sz w:val="20"/>
          <w:szCs w:val="20"/>
          <w:lang w:val="pt-BR"/>
        </w:rPr>
        <w:t>3.3.1. Projeto de Lei n° 725</w:t>
      </w:r>
      <w:r>
        <w:rPr>
          <w:sz w:val="20"/>
          <w:szCs w:val="20"/>
          <w:vertAlign w:val="superscript"/>
        </w:rPr>
        <w:footnoteReference w:id="1"/>
      </w:r>
      <w:r w:rsidRPr="00CA13A7">
        <w:rPr>
          <w:sz w:val="20"/>
          <w:szCs w:val="20"/>
          <w:lang w:val="pt-BR"/>
        </w:rPr>
        <w:br/>
      </w:r>
    </w:p>
    <w:p w14:paraId="2041E7F7" w14:textId="77777777" w:rsidR="00DF4FF0" w:rsidRPr="00CA13A7" w:rsidRDefault="00000000">
      <w:pPr>
        <w:ind w:firstLine="425"/>
        <w:rPr>
          <w:sz w:val="20"/>
          <w:szCs w:val="20"/>
          <w:lang w:val="pt-BR"/>
        </w:rPr>
      </w:pPr>
      <w:r w:rsidRPr="00CA13A7">
        <w:rPr>
          <w:sz w:val="20"/>
          <w:szCs w:val="20"/>
          <w:lang w:val="pt-BR"/>
        </w:rPr>
        <w:t>O  projeto de Lei n° 725, conforme [12], foi estabelecido no ano de 2022, onde são definidos os mecanismos necessários para a inserção do hidrogênio como um componente central no setor energético brasileiro, com o objetivo de incentivar o uso do hidrogênio sustentável e promover a transição para uma economia de baixo carbono. A iniciativa prevê a modificação de legislações existentes, como, por exemplo, a Lei nº 9.478, de 6 de agosto de 1997, para adequar o arcabouço jurídico às novas demandas tecnológicas e ambientais.</w:t>
      </w:r>
    </w:p>
    <w:p w14:paraId="2041E7F8" w14:textId="77777777" w:rsidR="00DF4FF0" w:rsidRPr="00CA13A7" w:rsidRDefault="00000000">
      <w:pPr>
        <w:ind w:firstLine="425"/>
        <w:rPr>
          <w:sz w:val="20"/>
          <w:szCs w:val="20"/>
          <w:lang w:val="pt-BR"/>
        </w:rPr>
      </w:pPr>
      <w:r w:rsidRPr="00CA13A7">
        <w:rPr>
          <w:sz w:val="20"/>
          <w:szCs w:val="20"/>
          <w:lang w:val="pt-BR"/>
        </w:rPr>
        <w:t>O Art. 1º da Lei nº 9.478 é alterado para incluir o hidrogênio como vetor energético, reforçando sua importância na transição energética e consolidando sua produção nacional de forma competitiva e sustentável. A introdução desse elemento no sistema energético visa tanto atender às metas de mitigar as mudanças climáticas quanto aumentar a competitividade do Brasil no cenário internacional.</w:t>
      </w:r>
    </w:p>
    <w:p w14:paraId="2041E7F9" w14:textId="77777777" w:rsidR="00DF4FF0" w:rsidRPr="00CA13A7" w:rsidRDefault="00000000">
      <w:pPr>
        <w:ind w:firstLine="425"/>
        <w:rPr>
          <w:sz w:val="20"/>
          <w:szCs w:val="20"/>
          <w:lang w:val="pt-BR"/>
        </w:rPr>
      </w:pPr>
      <w:r w:rsidRPr="00CA13A7">
        <w:rPr>
          <w:sz w:val="20"/>
          <w:szCs w:val="20"/>
          <w:lang w:val="pt-BR"/>
        </w:rPr>
        <w:t>No Art. 6º da referida Lei, são definidos os termos "hidrogênio" e "hidrogênio sustentável". O primeiro refere-se ao hidrogênio puro, obtido em condições normais de temperatura e pressão, seja a partir de fontes diversas, por meio de processos técnicos específicos, ou como subproduto de processos industriais. Já o segundo conceito, de "hidrogênio sustentável", descreve aquele que é produzido por fontes de energia renovável, como solar, eólica, biomassas, biogás e hidráulica, em consonância com a busca por fontes mais limpas e renováveis de energia.</w:t>
      </w:r>
    </w:p>
    <w:p w14:paraId="2041E7FA" w14:textId="77777777" w:rsidR="00DF4FF0" w:rsidRPr="00CA13A7" w:rsidRDefault="00000000">
      <w:pPr>
        <w:ind w:firstLine="425"/>
        <w:rPr>
          <w:sz w:val="20"/>
          <w:szCs w:val="20"/>
          <w:lang w:val="pt-BR"/>
        </w:rPr>
      </w:pPr>
      <w:r w:rsidRPr="00CA13A7">
        <w:rPr>
          <w:sz w:val="20"/>
          <w:szCs w:val="20"/>
          <w:lang w:val="pt-BR"/>
        </w:rPr>
        <w:t>O projeto também atualiza o Art. 8º da Lei nº 9.478, que agora inclui a regulação, autorização e fiscalização de toda a cadeia do hidrogênio. Isso abrange a produção, importação, exportação, armazenamento e estocagem do hidrogênio, bem como a criação de padrões para seu uso e injeção nos pontos de entrega ou saída dos sistemas de transporte de gás.</w:t>
      </w:r>
    </w:p>
    <w:p w14:paraId="2041E7FB" w14:textId="77777777" w:rsidR="00DF4FF0" w:rsidRPr="00CA13A7" w:rsidRDefault="00000000">
      <w:pPr>
        <w:ind w:firstLine="425"/>
        <w:rPr>
          <w:sz w:val="20"/>
          <w:szCs w:val="20"/>
          <w:lang w:val="pt-BR"/>
        </w:rPr>
      </w:pPr>
      <w:r w:rsidRPr="00CA13A7">
        <w:rPr>
          <w:sz w:val="20"/>
          <w:szCs w:val="20"/>
          <w:lang w:val="pt-BR"/>
        </w:rPr>
        <w:t>Além disso, a Lei nº 9.847, de 26 de outubro de 1999, sofreria uma alteração a respeito da inclusão do inciso IV ao Art. 1º, que estabelece que a produção, importação, exportação, armazenamento e estocagem do hidrogênio também estarão sob regulação, incluindo padrões para sua injeção nos sistemas de distribuição de gás.</w:t>
      </w:r>
    </w:p>
    <w:p w14:paraId="2041E7FC" w14:textId="77777777" w:rsidR="00DF4FF0" w:rsidRPr="00CA13A7" w:rsidRDefault="00000000">
      <w:pPr>
        <w:ind w:firstLine="425"/>
        <w:rPr>
          <w:sz w:val="20"/>
          <w:szCs w:val="20"/>
          <w:lang w:val="pt-BR"/>
        </w:rPr>
      </w:pPr>
      <w:r w:rsidRPr="00CA13A7">
        <w:rPr>
          <w:sz w:val="20"/>
          <w:szCs w:val="20"/>
          <w:lang w:val="pt-BR"/>
        </w:rPr>
        <w:t>Outro ponto importante do referido projeto de lei, se refere ao Art. 4º, que trata da adição obrigatória de hidrogênio nos gasodutos de transporte. Sugere-se que a partir de 1º de janeiro de 2032, os gasodutos deverão conter no mínimo 5% de hidrogênio em volume, dos quais 60% deve ser hidrogênio sustentável. Este percentual subirá para 10% a partir de 1º de janeiro de 2050, com um mínimo de 80% de hidrogênio sustentável. Ainda prevê a possibilidade de escalonamento desses percentuais, respeitando a capacidade de segurança de transporte e abastecimento dos gasodutos.</w:t>
      </w:r>
    </w:p>
    <w:p w14:paraId="2041E7FD" w14:textId="77777777" w:rsidR="00DF4FF0" w:rsidRPr="00CA13A7" w:rsidRDefault="00000000">
      <w:pPr>
        <w:ind w:firstLine="425"/>
        <w:rPr>
          <w:sz w:val="20"/>
          <w:szCs w:val="20"/>
          <w:lang w:val="pt-BR"/>
        </w:rPr>
      </w:pPr>
      <w:r w:rsidRPr="00CA13A7">
        <w:rPr>
          <w:sz w:val="20"/>
          <w:szCs w:val="20"/>
          <w:lang w:val="pt-BR"/>
        </w:rPr>
        <w:t>Por fim, o Art. 5º estabelece que a lei entrará em vigor na data de sua publicação, o que permitirá a implementação imediata das diretrizes propostas para promover o uso do hidrogênio sustentável no Brasil.</w:t>
      </w:r>
    </w:p>
    <w:p w14:paraId="2041E7FE" w14:textId="77777777" w:rsidR="00DF4FF0" w:rsidRPr="00CA13A7" w:rsidRDefault="00000000">
      <w:pPr>
        <w:spacing w:before="200"/>
        <w:jc w:val="left"/>
        <w:rPr>
          <w:sz w:val="20"/>
          <w:szCs w:val="20"/>
          <w:lang w:val="pt-BR"/>
        </w:rPr>
      </w:pPr>
      <w:r w:rsidRPr="00CA13A7">
        <w:rPr>
          <w:sz w:val="20"/>
          <w:szCs w:val="20"/>
          <w:lang w:val="pt-BR"/>
        </w:rPr>
        <w:t>3.3.2. Resolução n°6 / 2022 do CNPE</w:t>
      </w:r>
      <w:r w:rsidRPr="00CA13A7">
        <w:rPr>
          <w:sz w:val="20"/>
          <w:szCs w:val="20"/>
          <w:lang w:val="pt-BR"/>
        </w:rPr>
        <w:br/>
      </w:r>
    </w:p>
    <w:p w14:paraId="2041E7FF" w14:textId="77777777" w:rsidR="00DF4FF0" w:rsidRPr="00CA13A7" w:rsidRDefault="00000000">
      <w:pPr>
        <w:ind w:firstLine="425"/>
        <w:rPr>
          <w:sz w:val="20"/>
          <w:szCs w:val="20"/>
          <w:lang w:val="pt-BR"/>
        </w:rPr>
      </w:pPr>
      <w:r w:rsidRPr="00CA13A7">
        <w:rPr>
          <w:sz w:val="20"/>
          <w:szCs w:val="20"/>
          <w:lang w:val="pt-BR"/>
        </w:rPr>
        <w:t>Através da Resolução n°6 / 2021 do CNPE, que instituiu o Programa Nacional do Hidrogênio (PNH2), estabelecendo um marco regulatório para o desenvolvimento da economia do hidrogênio no Brasil. Seu principal objetivo é criar bases para a produção, transporte, armazenamento e uso do hidrogênio como vetor energético, com ênfase na transição para fontes sustentáveis.</w:t>
      </w:r>
    </w:p>
    <w:p w14:paraId="2041E800" w14:textId="77777777" w:rsidR="00DF4FF0" w:rsidRPr="00CA13A7" w:rsidRDefault="00000000">
      <w:pPr>
        <w:ind w:firstLine="425"/>
        <w:rPr>
          <w:sz w:val="20"/>
          <w:szCs w:val="20"/>
          <w:lang w:val="pt-BR"/>
        </w:rPr>
      </w:pPr>
      <w:r w:rsidRPr="00CA13A7">
        <w:rPr>
          <w:sz w:val="20"/>
          <w:szCs w:val="20"/>
          <w:lang w:val="pt-BR"/>
        </w:rPr>
        <w:t>Uma das diretrizes centrais do Programa Nacional do Hidrogênio (PNH2) é a organização da governança por meio do Comitê Gestor do Programa Nacional do Hidrogênio (Coges-PNH2), composto por representantes de diversos ministérios e entidades do setor energético. O Coges-PNH2 tem a função de coordenar a implementação das ações estratégicas do programa, além de definir metas e acompanhar a evolução do mercado de hidrogênio no país.</w:t>
      </w:r>
    </w:p>
    <w:p w14:paraId="2041E801" w14:textId="77777777" w:rsidR="00DF4FF0" w:rsidRPr="00CA13A7" w:rsidRDefault="00000000">
      <w:pPr>
        <w:ind w:firstLine="425"/>
        <w:rPr>
          <w:sz w:val="20"/>
          <w:szCs w:val="20"/>
          <w:lang w:val="pt-BR"/>
        </w:rPr>
      </w:pPr>
      <w:r w:rsidRPr="00CA13A7">
        <w:rPr>
          <w:sz w:val="20"/>
          <w:szCs w:val="20"/>
          <w:lang w:val="pt-BR"/>
        </w:rPr>
        <w:t>A Resolução n°6 sofreu uma atualização em 2022 [13] para ampliar a estrutura do programa e garantir maior integração com políticas de descarbonização e desenvolvimento sustentável. Entre as principais mudanças, destaca-se a definição mais clara dos eixos estratégicos do PNH2, que incluem: aprimoramento regulatório, capacitação tecnológica, incentivo à pesquisa e desenvolvimento, atração de investimentos e fortalecimento da participação brasileira no mercado global de hidrogênio.</w:t>
      </w:r>
    </w:p>
    <w:p w14:paraId="2041E802" w14:textId="77777777" w:rsidR="00DF4FF0" w:rsidRPr="00CA13A7" w:rsidRDefault="00000000">
      <w:pPr>
        <w:ind w:firstLine="425"/>
        <w:rPr>
          <w:sz w:val="20"/>
          <w:szCs w:val="20"/>
          <w:lang w:val="pt-BR"/>
        </w:rPr>
      </w:pPr>
      <w:r w:rsidRPr="00CA13A7">
        <w:rPr>
          <w:sz w:val="20"/>
          <w:szCs w:val="20"/>
          <w:lang w:val="pt-BR"/>
        </w:rPr>
        <w:t>Outro ponto relevante de [13] é a inclusão de diretrizes para a certificação do hidrogênio com base em critérios ambientais, garantindo que o Brasil esteja alinhado às exigências internacionais para a exportação do chamado "hidrogênio verde". Além disso, a resolução reforça a necessidade de incentivos para a produção de hidrogênio a partir de fontes renováveis, como eólica, solar e biomassa, consolidando o papel do Brasil como um potencial líder na transição energética global. Sua atualização foi essencial para que o país se encaixe e aproveite seu potencial na produção sustentável de hidrogênio e se posicione estrategicamente no cenário energético internacional.</w:t>
      </w:r>
    </w:p>
    <w:p w14:paraId="2041E803" w14:textId="77777777" w:rsidR="00DF4FF0" w:rsidRPr="00CA13A7" w:rsidRDefault="00000000">
      <w:pPr>
        <w:spacing w:before="200" w:after="120"/>
        <w:jc w:val="left"/>
        <w:rPr>
          <w:i/>
          <w:sz w:val="20"/>
          <w:szCs w:val="20"/>
          <w:lang w:val="pt-BR"/>
        </w:rPr>
      </w:pPr>
      <w:r w:rsidRPr="00CA13A7">
        <w:rPr>
          <w:i/>
          <w:sz w:val="20"/>
          <w:szCs w:val="20"/>
          <w:lang w:val="pt-BR"/>
        </w:rPr>
        <w:t>3.4. Instrumentos regulatórios: ano de 2023</w:t>
      </w:r>
    </w:p>
    <w:p w14:paraId="2041E804" w14:textId="77777777" w:rsidR="00DF4FF0" w:rsidRPr="00CA13A7" w:rsidRDefault="00000000">
      <w:pPr>
        <w:spacing w:before="200"/>
        <w:ind w:firstLine="425"/>
        <w:rPr>
          <w:sz w:val="20"/>
          <w:szCs w:val="20"/>
          <w:lang w:val="pt-BR"/>
        </w:rPr>
      </w:pPr>
      <w:r w:rsidRPr="00CA13A7">
        <w:rPr>
          <w:sz w:val="20"/>
          <w:szCs w:val="20"/>
          <w:lang w:val="pt-BR"/>
        </w:rPr>
        <w:t>No ano de 2023, foram publicados alguns documentos, tais como a Resolução nº 4, o Plano de Trabalho Trienal - PNH2 e o Projeto de Lei nº 2308. Todos estes documentos abordam diferentes objetivos, sejam eles normativo, político, pesquisa, desenvolvimento e inovação no desenvolvimento de tecnologias de baixa emissão de carbono, além de propor um marco legal do Hidrogênio de baixa emissão de carbono no setor elétrico brasileiro.</w:t>
      </w:r>
    </w:p>
    <w:p w14:paraId="2041E805" w14:textId="77777777" w:rsidR="00DF4FF0" w:rsidRPr="00CA13A7" w:rsidRDefault="00000000">
      <w:pPr>
        <w:spacing w:before="240" w:after="120"/>
        <w:jc w:val="left"/>
        <w:rPr>
          <w:sz w:val="20"/>
          <w:szCs w:val="20"/>
          <w:lang w:val="pt-BR"/>
        </w:rPr>
      </w:pPr>
      <w:r w:rsidRPr="00CA13A7">
        <w:rPr>
          <w:sz w:val="20"/>
          <w:szCs w:val="20"/>
          <w:lang w:val="pt-BR"/>
        </w:rPr>
        <w:t>3.4.1. Resolução nº 4, de 20 de março de 2023</w:t>
      </w:r>
    </w:p>
    <w:p w14:paraId="2041E806" w14:textId="77777777" w:rsidR="00DF4FF0" w:rsidRPr="00CA13A7" w:rsidRDefault="00000000">
      <w:pPr>
        <w:ind w:firstLine="425"/>
        <w:rPr>
          <w:sz w:val="20"/>
          <w:szCs w:val="20"/>
          <w:lang w:val="pt-BR"/>
        </w:rPr>
      </w:pPr>
      <w:r w:rsidRPr="00CA13A7">
        <w:rPr>
          <w:sz w:val="20"/>
          <w:szCs w:val="20"/>
          <w:lang w:val="pt-BR"/>
        </w:rPr>
        <w:t xml:space="preserve">Segundo [14], que foi implementada com a nova estrutura organizacional do Governo Federal, a Resolução nº 6/2022 foi alterada pela Resolução nº 4/2023 com o objetivo de refletir o atual cenário </w:t>
      </w:r>
      <w:proofErr w:type="spellStart"/>
      <w:r w:rsidRPr="00CA13A7">
        <w:rPr>
          <w:sz w:val="20"/>
          <w:szCs w:val="20"/>
          <w:lang w:val="pt-BR"/>
        </w:rPr>
        <w:t>politico</w:t>
      </w:r>
      <w:proofErr w:type="spellEnd"/>
      <w:r w:rsidRPr="00CA13A7">
        <w:rPr>
          <w:sz w:val="20"/>
          <w:szCs w:val="20"/>
          <w:lang w:val="pt-BR"/>
        </w:rPr>
        <w:t>. No entanto, os atos normativos permaneceram inalterados.</w:t>
      </w:r>
    </w:p>
    <w:p w14:paraId="2041E807" w14:textId="77777777" w:rsidR="00DF4FF0" w:rsidRPr="00CA13A7" w:rsidRDefault="00000000">
      <w:pPr>
        <w:spacing w:before="240" w:after="120"/>
        <w:jc w:val="left"/>
        <w:rPr>
          <w:sz w:val="20"/>
          <w:szCs w:val="20"/>
          <w:lang w:val="pt-BR"/>
        </w:rPr>
      </w:pPr>
      <w:r w:rsidRPr="00CA13A7">
        <w:rPr>
          <w:sz w:val="20"/>
          <w:szCs w:val="20"/>
          <w:lang w:val="pt-BR"/>
        </w:rPr>
        <w:t>3.4.2. Plano de Trabalho Trienal - PNH2</w:t>
      </w:r>
      <w:r>
        <w:rPr>
          <w:sz w:val="20"/>
          <w:szCs w:val="20"/>
          <w:vertAlign w:val="superscript"/>
        </w:rPr>
        <w:footnoteReference w:id="2"/>
      </w:r>
    </w:p>
    <w:p w14:paraId="2041E808" w14:textId="77777777" w:rsidR="00DF4FF0" w:rsidRPr="00CA13A7" w:rsidRDefault="00000000">
      <w:pPr>
        <w:ind w:firstLine="425"/>
        <w:rPr>
          <w:sz w:val="20"/>
          <w:szCs w:val="20"/>
          <w:lang w:val="pt-BR"/>
        </w:rPr>
      </w:pPr>
      <w:r w:rsidRPr="00CA13A7">
        <w:rPr>
          <w:sz w:val="20"/>
          <w:szCs w:val="20"/>
          <w:lang w:val="pt-BR"/>
        </w:rPr>
        <w:t>O Plano de Trabalho Trienal - PNH2, tratado em [15], tem como objetivo impulsionar o potencial do país para com o Hidrogênio, foi lançado pelo Ministério de Minas e Energia, com foco em Pesquisa, Desenvolvimento e Inovação no desenvolvimento de tecnologias de baixa emissão de carbono, no que se referem a todas as suas formas de produção, inclusive o Hidrogênio Verde.</w:t>
      </w:r>
    </w:p>
    <w:p w14:paraId="2041E809" w14:textId="77777777" w:rsidR="00DF4FF0" w:rsidRPr="00CA13A7" w:rsidRDefault="00000000">
      <w:pPr>
        <w:ind w:firstLine="425"/>
        <w:rPr>
          <w:sz w:val="20"/>
          <w:szCs w:val="20"/>
          <w:lang w:val="pt-BR"/>
        </w:rPr>
      </w:pPr>
      <w:r w:rsidRPr="00CA13A7">
        <w:rPr>
          <w:sz w:val="20"/>
          <w:szCs w:val="20"/>
          <w:lang w:val="pt-BR"/>
        </w:rPr>
        <w:t xml:space="preserve">Outro ponto relevante acerca deste Plano de Trabalho, se refere ao fato deste documento contemplar cinco câmaras temáticas para delimitar as ações que serão realizadas no triênio de 2023 a 2025 para com o PNH2, conforme a Figura 3. </w:t>
      </w:r>
    </w:p>
    <w:p w14:paraId="2041E80A" w14:textId="77777777" w:rsidR="00DF4FF0" w:rsidRPr="00CA13A7" w:rsidRDefault="00000000">
      <w:pPr>
        <w:ind w:firstLine="425"/>
        <w:rPr>
          <w:sz w:val="20"/>
          <w:szCs w:val="20"/>
          <w:lang w:val="pt-BR"/>
        </w:rPr>
      </w:pPr>
      <w:r w:rsidRPr="00CA13A7">
        <w:rPr>
          <w:sz w:val="20"/>
          <w:szCs w:val="20"/>
          <w:lang w:val="pt-BR"/>
        </w:rPr>
        <w:t>Como o instrumento é bastante extenso, o referido trabalho terá como foco a 4</w:t>
      </w:r>
      <w:r w:rsidRPr="00CA13A7">
        <w:rPr>
          <w:sz w:val="20"/>
          <w:szCs w:val="20"/>
          <w:vertAlign w:val="superscript"/>
          <w:lang w:val="pt-BR"/>
        </w:rPr>
        <w:t>a</w:t>
      </w:r>
      <w:r w:rsidRPr="00CA13A7">
        <w:rPr>
          <w:sz w:val="20"/>
          <w:szCs w:val="20"/>
          <w:lang w:val="pt-BR"/>
        </w:rPr>
        <w:t xml:space="preserve"> câmara, Arcabouço Legal e Regulatório-normativo, que consiste em remover barreiras contra investimentos no setor, considerando o alinhamento dos normativos nacionais com internacionais, </w:t>
      </w:r>
      <w:proofErr w:type="spellStart"/>
      <w:r w:rsidRPr="00CA13A7">
        <w:rPr>
          <w:sz w:val="20"/>
          <w:szCs w:val="20"/>
          <w:lang w:val="pt-BR"/>
        </w:rPr>
        <w:t>inter</w:t>
      </w:r>
      <w:proofErr w:type="spellEnd"/>
      <w:r w:rsidRPr="00CA13A7">
        <w:rPr>
          <w:sz w:val="20"/>
          <w:szCs w:val="20"/>
          <w:lang w:val="pt-BR"/>
        </w:rPr>
        <w:t xml:space="preserve"> relações entre setores e normas de segurança e usos tecnológicos.</w:t>
      </w:r>
    </w:p>
    <w:p w14:paraId="2041E80B" w14:textId="77777777" w:rsidR="00DF4FF0" w:rsidRPr="00CA13A7" w:rsidRDefault="00DF4FF0">
      <w:pPr>
        <w:rPr>
          <w:sz w:val="20"/>
          <w:szCs w:val="20"/>
          <w:lang w:val="pt-BR"/>
        </w:rPr>
      </w:pPr>
    </w:p>
    <w:p w14:paraId="2041E80C" w14:textId="77777777" w:rsidR="00DF4FF0" w:rsidRDefault="00000000">
      <w:pPr>
        <w:ind w:firstLine="425"/>
        <w:jc w:val="center"/>
        <w:rPr>
          <w:sz w:val="20"/>
          <w:szCs w:val="20"/>
        </w:rPr>
      </w:pPr>
      <w:r>
        <w:rPr>
          <w:noProof/>
          <w:sz w:val="20"/>
          <w:szCs w:val="20"/>
        </w:rPr>
        <w:drawing>
          <wp:inline distT="114300" distB="114300" distL="114300" distR="114300" wp14:anchorId="2041E892" wp14:editId="2041E893">
            <wp:extent cx="3254725" cy="1711745"/>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3254725" cy="1711745"/>
                    </a:xfrm>
                    <a:prstGeom prst="rect">
                      <a:avLst/>
                    </a:prstGeom>
                    <a:ln/>
                  </pic:spPr>
                </pic:pic>
              </a:graphicData>
            </a:graphic>
          </wp:inline>
        </w:drawing>
      </w:r>
    </w:p>
    <w:p w14:paraId="2041E80D" w14:textId="77777777" w:rsidR="00DF4FF0" w:rsidRPr="00CA13A7" w:rsidRDefault="00000000">
      <w:pPr>
        <w:spacing w:before="120" w:after="240"/>
        <w:ind w:left="425" w:right="425"/>
        <w:jc w:val="center"/>
        <w:rPr>
          <w:rFonts w:ascii="Arial" w:eastAsia="Arial" w:hAnsi="Arial" w:cs="Arial"/>
          <w:lang w:val="pt-BR"/>
        </w:rPr>
      </w:pPr>
      <w:r w:rsidRPr="00CA13A7">
        <w:rPr>
          <w:sz w:val="18"/>
          <w:szCs w:val="18"/>
          <w:lang w:val="pt-BR"/>
        </w:rPr>
        <w:t xml:space="preserve">Figura 3. </w:t>
      </w:r>
      <w:r w:rsidRPr="00CA13A7">
        <w:rPr>
          <w:sz w:val="20"/>
          <w:szCs w:val="20"/>
          <w:lang w:val="pt-BR"/>
        </w:rPr>
        <w:t>Estrutura de governança estabelecida para o Programa Nacional do Hidrogênio</w:t>
      </w:r>
      <w:r w:rsidRPr="00CA13A7">
        <w:rPr>
          <w:sz w:val="18"/>
          <w:szCs w:val="18"/>
          <w:lang w:val="pt-BR"/>
        </w:rPr>
        <w:t xml:space="preserve"> (Plano Trienal 2023-2025) [15]. </w:t>
      </w:r>
    </w:p>
    <w:p w14:paraId="2041E80E" w14:textId="77777777" w:rsidR="00DF4FF0" w:rsidRPr="00CA13A7" w:rsidRDefault="00DF4FF0">
      <w:pPr>
        <w:ind w:firstLine="425"/>
        <w:jc w:val="center"/>
        <w:rPr>
          <w:sz w:val="20"/>
          <w:szCs w:val="20"/>
          <w:lang w:val="pt-BR"/>
        </w:rPr>
      </w:pPr>
    </w:p>
    <w:p w14:paraId="2041E80F" w14:textId="77777777" w:rsidR="00DF4FF0" w:rsidRPr="00CA13A7" w:rsidRDefault="00000000">
      <w:pPr>
        <w:ind w:firstLine="425"/>
        <w:rPr>
          <w:sz w:val="20"/>
          <w:szCs w:val="20"/>
          <w:lang w:val="pt-BR"/>
        </w:rPr>
      </w:pPr>
      <w:r w:rsidRPr="00CA13A7">
        <w:rPr>
          <w:sz w:val="20"/>
          <w:szCs w:val="20"/>
          <w:lang w:val="pt-BR"/>
        </w:rPr>
        <w:t>Conforme mostrado no PNH2, é fundamental identificar e propor a adequação da legislação necessária ao enquadramento de plantas de hidrogênio como projetos de infraestrutura, garantindo sua elegibilidade ao Regime Especial de Incentivos para o Desenvolvimento da Infraestrutura (REIDI). Além disso, o aperfeiçoamento de atos normativos é essencial para viabilizar incentivos já existentes, facilitando o avanço do mercado.</w:t>
      </w:r>
    </w:p>
    <w:p w14:paraId="2041E810" w14:textId="77777777" w:rsidR="00DF4FF0" w:rsidRPr="00CA13A7" w:rsidRDefault="00000000">
      <w:pPr>
        <w:ind w:firstLine="425"/>
        <w:rPr>
          <w:sz w:val="20"/>
          <w:szCs w:val="20"/>
          <w:lang w:val="pt-BR"/>
        </w:rPr>
      </w:pPr>
      <w:r w:rsidRPr="00CA13A7">
        <w:rPr>
          <w:sz w:val="20"/>
          <w:szCs w:val="20"/>
          <w:lang w:val="pt-BR"/>
        </w:rPr>
        <w:t>Portanto, este Plano de Trabalho Trienal estabelece os marcos temporais e as prioridades do Brasil para a estruturação da economia do hidrogênio. Neste cenário, para alcançar tais objetivos, foram estabelecidas ações prioritárias, dentre elas, a definição de um marco legal para o setor.</w:t>
      </w:r>
    </w:p>
    <w:p w14:paraId="2041E811" w14:textId="77777777" w:rsidR="00DF4FF0" w:rsidRPr="00CA13A7" w:rsidRDefault="00000000">
      <w:pPr>
        <w:spacing w:before="240" w:after="120"/>
        <w:jc w:val="left"/>
        <w:rPr>
          <w:sz w:val="20"/>
          <w:szCs w:val="20"/>
          <w:lang w:val="pt-BR"/>
        </w:rPr>
      </w:pPr>
      <w:r w:rsidRPr="00CA13A7">
        <w:rPr>
          <w:sz w:val="20"/>
          <w:szCs w:val="20"/>
          <w:lang w:val="pt-BR"/>
        </w:rPr>
        <w:t>3.4.3. Projeto de Lei nº 2308 de 3 de maio de 2023</w:t>
      </w:r>
      <w:r>
        <w:rPr>
          <w:sz w:val="20"/>
          <w:szCs w:val="20"/>
          <w:vertAlign w:val="superscript"/>
        </w:rPr>
        <w:footnoteReference w:id="3"/>
      </w:r>
    </w:p>
    <w:p w14:paraId="2041E812" w14:textId="77777777" w:rsidR="00DF4FF0" w:rsidRPr="00CA13A7" w:rsidRDefault="00000000">
      <w:pPr>
        <w:ind w:firstLine="425"/>
        <w:rPr>
          <w:color w:val="FF0000"/>
          <w:sz w:val="20"/>
          <w:szCs w:val="20"/>
          <w:lang w:val="pt-BR"/>
        </w:rPr>
      </w:pPr>
      <w:r w:rsidRPr="00CA13A7">
        <w:rPr>
          <w:sz w:val="20"/>
          <w:szCs w:val="20"/>
          <w:lang w:val="pt-BR"/>
        </w:rPr>
        <w:t>O Projeto de Lei (PL) nº 2308 propõe a inclusão das definições de “hidrogênio combustível” e “Hidrogênio Verde” na Política Energética Nacional (Lei nº 9478/1997). Além disso, institui o marco legal para o hidrogênio de baixa emissão de carbono, incentivando o uso de fontes renováveis para produção e fomentando a indústria desse combustível no Brasil.</w:t>
      </w:r>
    </w:p>
    <w:p w14:paraId="2041E813" w14:textId="77777777" w:rsidR="00DF4FF0" w:rsidRPr="00CA13A7" w:rsidRDefault="00000000">
      <w:pPr>
        <w:ind w:firstLine="425"/>
        <w:rPr>
          <w:sz w:val="20"/>
          <w:szCs w:val="20"/>
          <w:lang w:val="pt-BR"/>
        </w:rPr>
      </w:pPr>
      <w:r w:rsidRPr="00CA13A7">
        <w:rPr>
          <w:sz w:val="20"/>
          <w:szCs w:val="20"/>
          <w:lang w:val="pt-BR"/>
        </w:rPr>
        <w:t>Alguns dos principais tópicos abordados pelo PL nº 2308/2023 são mostrados na Tabela 2. Este PL busca estabelecer segurança jurídica e estabilidade regulatória, facilitando investimentos e desenvolvimento tecnológico. Sua aprovação (se tornando no ano de 2024, a Lei nº 14.948) consolida o Brasil no mercado global de energia limpa e de baixo carbono.</w:t>
      </w:r>
    </w:p>
    <w:p w14:paraId="2041E814" w14:textId="77777777" w:rsidR="00DF4FF0" w:rsidRPr="00CA13A7" w:rsidRDefault="00000000">
      <w:pPr>
        <w:spacing w:before="240" w:after="120"/>
        <w:ind w:left="425" w:right="425"/>
        <w:jc w:val="center"/>
        <w:rPr>
          <w:sz w:val="20"/>
          <w:szCs w:val="20"/>
          <w:lang w:val="pt-BR"/>
        </w:rPr>
      </w:pPr>
      <w:r w:rsidRPr="00CA13A7">
        <w:rPr>
          <w:smallCaps/>
          <w:sz w:val="18"/>
          <w:szCs w:val="18"/>
          <w:lang w:val="pt-BR"/>
        </w:rPr>
        <w:t>Tabela 2.</w:t>
      </w:r>
      <w:r w:rsidRPr="00CA13A7">
        <w:rPr>
          <w:sz w:val="18"/>
          <w:szCs w:val="18"/>
          <w:lang w:val="pt-BR"/>
        </w:rPr>
        <w:t xml:space="preserve"> </w:t>
      </w:r>
      <w:r w:rsidRPr="00CA13A7">
        <w:rPr>
          <w:sz w:val="20"/>
          <w:szCs w:val="20"/>
          <w:lang w:val="pt-BR"/>
        </w:rPr>
        <w:t>Tópicos informativos gerais abordados pela PL nº 2308/2023.</w:t>
      </w:r>
    </w:p>
    <w:tbl>
      <w:tblPr>
        <w:tblStyle w:val="a0"/>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422"/>
        <w:gridCol w:w="4422"/>
      </w:tblGrid>
      <w:tr w:rsidR="00DF4FF0" w14:paraId="2041E817" w14:textId="77777777">
        <w:trPr>
          <w:trHeight w:val="315"/>
          <w:jc w:val="center"/>
        </w:trPr>
        <w:tc>
          <w:tcPr>
            <w:tcW w:w="4422" w:type="dxa"/>
            <w:tcBorders>
              <w:top w:val="single" w:sz="8" w:space="0" w:color="000000"/>
              <w:left w:val="single" w:sz="8" w:space="0" w:color="FFFFFF"/>
              <w:bottom w:val="single" w:sz="8" w:space="0" w:color="000000"/>
              <w:right w:val="single" w:sz="8" w:space="0" w:color="000000"/>
            </w:tcBorders>
            <w:tcMar>
              <w:top w:w="40" w:type="dxa"/>
              <w:left w:w="40" w:type="dxa"/>
              <w:bottom w:w="40" w:type="dxa"/>
              <w:right w:w="40" w:type="dxa"/>
            </w:tcMar>
            <w:vAlign w:val="center"/>
          </w:tcPr>
          <w:p w14:paraId="2041E815" w14:textId="77777777" w:rsidR="00DF4FF0" w:rsidRDefault="00000000">
            <w:pPr>
              <w:ind w:firstLine="425"/>
              <w:jc w:val="center"/>
              <w:rPr>
                <w:i/>
                <w:sz w:val="20"/>
                <w:szCs w:val="20"/>
              </w:rPr>
            </w:pPr>
            <w:proofErr w:type="spellStart"/>
            <w:r>
              <w:rPr>
                <w:i/>
                <w:sz w:val="20"/>
                <w:szCs w:val="20"/>
              </w:rPr>
              <w:t>Tópico</w:t>
            </w:r>
            <w:proofErr w:type="spellEnd"/>
          </w:p>
        </w:tc>
        <w:tc>
          <w:tcPr>
            <w:tcW w:w="4422" w:type="dxa"/>
            <w:tcBorders>
              <w:top w:val="single" w:sz="8" w:space="0" w:color="000000"/>
              <w:left w:val="single" w:sz="8" w:space="0" w:color="CCCCCC"/>
              <w:bottom w:val="single" w:sz="8" w:space="0" w:color="000000"/>
              <w:right w:val="single" w:sz="8" w:space="0" w:color="FFFFFF"/>
            </w:tcBorders>
            <w:tcMar>
              <w:top w:w="40" w:type="dxa"/>
              <w:left w:w="40" w:type="dxa"/>
              <w:bottom w:w="40" w:type="dxa"/>
              <w:right w:w="40" w:type="dxa"/>
            </w:tcMar>
            <w:vAlign w:val="center"/>
          </w:tcPr>
          <w:p w14:paraId="2041E816" w14:textId="77777777" w:rsidR="00DF4FF0" w:rsidRDefault="00000000">
            <w:pPr>
              <w:ind w:firstLine="425"/>
              <w:jc w:val="center"/>
              <w:rPr>
                <w:i/>
                <w:sz w:val="20"/>
                <w:szCs w:val="20"/>
              </w:rPr>
            </w:pPr>
            <w:proofErr w:type="spellStart"/>
            <w:r>
              <w:rPr>
                <w:i/>
                <w:sz w:val="20"/>
                <w:szCs w:val="20"/>
              </w:rPr>
              <w:t>Descrição</w:t>
            </w:r>
            <w:proofErr w:type="spellEnd"/>
          </w:p>
        </w:tc>
      </w:tr>
      <w:tr w:rsidR="00DF4FF0" w:rsidRPr="00CA13A7" w14:paraId="2041E81A" w14:textId="77777777">
        <w:trPr>
          <w:trHeight w:val="750"/>
          <w:jc w:val="center"/>
        </w:trPr>
        <w:tc>
          <w:tcPr>
            <w:tcW w:w="4422" w:type="dxa"/>
            <w:tcBorders>
              <w:top w:val="single" w:sz="8" w:space="0" w:color="CCCCCC"/>
              <w:left w:val="single" w:sz="8" w:space="0" w:color="FFFFFF"/>
              <w:bottom w:val="single" w:sz="8" w:space="0" w:color="000000"/>
              <w:right w:val="single" w:sz="8" w:space="0" w:color="000000"/>
            </w:tcBorders>
            <w:tcMar>
              <w:top w:w="40" w:type="dxa"/>
              <w:left w:w="40" w:type="dxa"/>
              <w:bottom w:w="40" w:type="dxa"/>
              <w:right w:w="40" w:type="dxa"/>
            </w:tcMar>
            <w:vAlign w:val="center"/>
          </w:tcPr>
          <w:p w14:paraId="2041E818" w14:textId="77777777" w:rsidR="00DF4FF0" w:rsidRDefault="00000000">
            <w:pPr>
              <w:ind w:firstLine="425"/>
              <w:rPr>
                <w:sz w:val="20"/>
                <w:szCs w:val="20"/>
              </w:rPr>
            </w:pPr>
            <w:proofErr w:type="spellStart"/>
            <w:r>
              <w:rPr>
                <w:sz w:val="20"/>
                <w:szCs w:val="20"/>
              </w:rPr>
              <w:t>Definição</w:t>
            </w:r>
            <w:proofErr w:type="spellEnd"/>
            <w:r>
              <w:rPr>
                <w:sz w:val="20"/>
                <w:szCs w:val="20"/>
              </w:rPr>
              <w:t xml:space="preserve"> de </w:t>
            </w:r>
            <w:proofErr w:type="spellStart"/>
            <w:r>
              <w:rPr>
                <w:sz w:val="20"/>
                <w:szCs w:val="20"/>
              </w:rPr>
              <w:t>Hidrogênio</w:t>
            </w:r>
            <w:proofErr w:type="spellEnd"/>
            <w:r>
              <w:rPr>
                <w:sz w:val="20"/>
                <w:szCs w:val="20"/>
              </w:rPr>
              <w:t xml:space="preserve"> Verde</w:t>
            </w:r>
          </w:p>
        </w:tc>
        <w:tc>
          <w:tcPr>
            <w:tcW w:w="4422" w:type="dxa"/>
            <w:tcBorders>
              <w:top w:val="single" w:sz="8" w:space="0" w:color="CCCCCC"/>
              <w:left w:val="single" w:sz="8" w:space="0" w:color="CCCCCC"/>
              <w:bottom w:val="single" w:sz="8" w:space="0" w:color="000000"/>
              <w:right w:val="single" w:sz="8" w:space="0" w:color="FFFFFF"/>
            </w:tcBorders>
            <w:tcMar>
              <w:top w:w="40" w:type="dxa"/>
              <w:left w:w="40" w:type="dxa"/>
              <w:bottom w:w="40" w:type="dxa"/>
              <w:right w:w="40" w:type="dxa"/>
            </w:tcMar>
            <w:vAlign w:val="center"/>
          </w:tcPr>
          <w:p w14:paraId="2041E819" w14:textId="77777777" w:rsidR="00DF4FF0" w:rsidRPr="00CA13A7" w:rsidRDefault="00000000">
            <w:pPr>
              <w:rPr>
                <w:sz w:val="20"/>
                <w:szCs w:val="20"/>
                <w:lang w:val="pt-BR"/>
              </w:rPr>
            </w:pPr>
            <w:r w:rsidRPr="00CA13A7">
              <w:rPr>
                <w:sz w:val="20"/>
                <w:szCs w:val="20"/>
                <w:lang w:val="pt-BR"/>
              </w:rPr>
              <w:t>O hidrogênio verde é um combustível limpo obtido por meio da eletrólise da água, utilizando energia de fontes renováveis (eólica, solar) para separar o hidrogênio do oxigênio.</w:t>
            </w:r>
          </w:p>
        </w:tc>
      </w:tr>
      <w:tr w:rsidR="00DF4FF0" w:rsidRPr="00CA13A7" w14:paraId="2041E81F" w14:textId="77777777">
        <w:trPr>
          <w:trHeight w:val="750"/>
          <w:jc w:val="center"/>
        </w:trPr>
        <w:tc>
          <w:tcPr>
            <w:tcW w:w="4422" w:type="dxa"/>
            <w:tcBorders>
              <w:top w:val="single" w:sz="8" w:space="0" w:color="CCCCCC"/>
              <w:left w:val="single" w:sz="8" w:space="0" w:color="FFFFFF"/>
              <w:bottom w:val="single" w:sz="8" w:space="0" w:color="000000"/>
              <w:right w:val="single" w:sz="8" w:space="0" w:color="000000"/>
            </w:tcBorders>
            <w:tcMar>
              <w:top w:w="40" w:type="dxa"/>
              <w:left w:w="40" w:type="dxa"/>
              <w:bottom w:w="40" w:type="dxa"/>
              <w:right w:w="40" w:type="dxa"/>
            </w:tcMar>
            <w:vAlign w:val="center"/>
          </w:tcPr>
          <w:p w14:paraId="2041E81B" w14:textId="77777777" w:rsidR="00DF4FF0" w:rsidRDefault="00000000">
            <w:pPr>
              <w:ind w:firstLine="425"/>
              <w:rPr>
                <w:sz w:val="20"/>
                <w:szCs w:val="20"/>
              </w:rPr>
            </w:pPr>
            <w:proofErr w:type="spellStart"/>
            <w:r>
              <w:rPr>
                <w:sz w:val="20"/>
                <w:szCs w:val="20"/>
              </w:rPr>
              <w:t>Objetivos</w:t>
            </w:r>
            <w:proofErr w:type="spellEnd"/>
            <w:r>
              <w:rPr>
                <w:sz w:val="20"/>
                <w:szCs w:val="20"/>
              </w:rPr>
              <w:t xml:space="preserve"> do </w:t>
            </w:r>
            <w:proofErr w:type="spellStart"/>
            <w:r>
              <w:rPr>
                <w:sz w:val="20"/>
                <w:szCs w:val="20"/>
              </w:rPr>
              <w:t>Projeto</w:t>
            </w:r>
            <w:proofErr w:type="spellEnd"/>
          </w:p>
        </w:tc>
        <w:tc>
          <w:tcPr>
            <w:tcW w:w="4422" w:type="dxa"/>
            <w:tcBorders>
              <w:top w:val="single" w:sz="8" w:space="0" w:color="CCCCCC"/>
              <w:left w:val="single" w:sz="8" w:space="0" w:color="CCCCCC"/>
              <w:bottom w:val="single" w:sz="8" w:space="0" w:color="000000"/>
              <w:right w:val="single" w:sz="8" w:space="0" w:color="FFFFFF"/>
            </w:tcBorders>
            <w:tcMar>
              <w:top w:w="40" w:type="dxa"/>
              <w:left w:w="40" w:type="dxa"/>
              <w:bottom w:w="40" w:type="dxa"/>
              <w:right w:w="40" w:type="dxa"/>
            </w:tcMar>
            <w:vAlign w:val="center"/>
          </w:tcPr>
          <w:p w14:paraId="2041E81C" w14:textId="77777777" w:rsidR="00DF4FF0" w:rsidRPr="00CA13A7" w:rsidRDefault="00000000">
            <w:pPr>
              <w:rPr>
                <w:sz w:val="20"/>
                <w:szCs w:val="20"/>
                <w:lang w:val="pt-BR"/>
              </w:rPr>
            </w:pPr>
            <w:r w:rsidRPr="00CA13A7">
              <w:rPr>
                <w:sz w:val="20"/>
                <w:szCs w:val="20"/>
                <w:lang w:val="pt-BR"/>
              </w:rPr>
              <w:t>- Reduzir as emissões de gases de efeito estufa.</w:t>
            </w:r>
          </w:p>
          <w:p w14:paraId="2041E81D" w14:textId="77777777" w:rsidR="00DF4FF0" w:rsidRPr="00CA13A7" w:rsidRDefault="00000000">
            <w:pPr>
              <w:rPr>
                <w:sz w:val="20"/>
                <w:szCs w:val="20"/>
                <w:lang w:val="pt-BR"/>
              </w:rPr>
            </w:pPr>
            <w:r w:rsidRPr="00CA13A7">
              <w:rPr>
                <w:sz w:val="20"/>
                <w:szCs w:val="20"/>
                <w:lang w:val="pt-BR"/>
              </w:rPr>
              <w:t>- Contribuir para a transição energética.</w:t>
            </w:r>
          </w:p>
          <w:p w14:paraId="2041E81E" w14:textId="77777777" w:rsidR="00DF4FF0" w:rsidRPr="00CA13A7" w:rsidRDefault="00000000">
            <w:pPr>
              <w:rPr>
                <w:sz w:val="20"/>
                <w:szCs w:val="20"/>
                <w:lang w:val="pt-BR"/>
              </w:rPr>
            </w:pPr>
            <w:r w:rsidRPr="00CA13A7">
              <w:rPr>
                <w:sz w:val="20"/>
                <w:szCs w:val="20"/>
                <w:lang w:val="pt-BR"/>
              </w:rPr>
              <w:t>- Incentivar o desenvolvimento econômico sustentável.</w:t>
            </w:r>
          </w:p>
        </w:tc>
      </w:tr>
      <w:tr w:rsidR="00DF4FF0" w:rsidRPr="00CA13A7" w14:paraId="2041E823" w14:textId="77777777">
        <w:trPr>
          <w:trHeight w:val="750"/>
          <w:jc w:val="center"/>
        </w:trPr>
        <w:tc>
          <w:tcPr>
            <w:tcW w:w="4422" w:type="dxa"/>
            <w:tcBorders>
              <w:top w:val="single" w:sz="8" w:space="0" w:color="CCCCCC"/>
              <w:left w:val="single" w:sz="8" w:space="0" w:color="FFFFFF"/>
              <w:bottom w:val="single" w:sz="8" w:space="0" w:color="000000"/>
              <w:right w:val="single" w:sz="8" w:space="0" w:color="000000"/>
            </w:tcBorders>
            <w:tcMar>
              <w:top w:w="40" w:type="dxa"/>
              <w:left w:w="40" w:type="dxa"/>
              <w:bottom w:w="40" w:type="dxa"/>
              <w:right w:w="40" w:type="dxa"/>
            </w:tcMar>
            <w:vAlign w:val="center"/>
          </w:tcPr>
          <w:p w14:paraId="2041E820" w14:textId="77777777" w:rsidR="00DF4FF0" w:rsidRDefault="00000000">
            <w:pPr>
              <w:ind w:firstLine="425"/>
              <w:rPr>
                <w:sz w:val="20"/>
                <w:szCs w:val="20"/>
              </w:rPr>
            </w:pPr>
            <w:proofErr w:type="spellStart"/>
            <w:r>
              <w:rPr>
                <w:sz w:val="20"/>
                <w:szCs w:val="20"/>
              </w:rPr>
              <w:t>Propostas</w:t>
            </w:r>
            <w:proofErr w:type="spellEnd"/>
            <w:r>
              <w:rPr>
                <w:sz w:val="20"/>
                <w:szCs w:val="20"/>
              </w:rPr>
              <w:t xml:space="preserve"> </w:t>
            </w:r>
            <w:proofErr w:type="spellStart"/>
            <w:r>
              <w:rPr>
                <w:sz w:val="20"/>
                <w:szCs w:val="20"/>
              </w:rPr>
              <w:t>Legislativas</w:t>
            </w:r>
            <w:proofErr w:type="spellEnd"/>
            <w:r>
              <w:rPr>
                <w:sz w:val="20"/>
                <w:szCs w:val="20"/>
              </w:rPr>
              <w:t xml:space="preserve"> </w:t>
            </w:r>
            <w:proofErr w:type="spellStart"/>
            <w:r>
              <w:rPr>
                <w:sz w:val="20"/>
                <w:szCs w:val="20"/>
              </w:rPr>
              <w:t>Principais</w:t>
            </w:r>
            <w:proofErr w:type="spellEnd"/>
          </w:p>
        </w:tc>
        <w:tc>
          <w:tcPr>
            <w:tcW w:w="4422" w:type="dxa"/>
            <w:tcBorders>
              <w:top w:val="single" w:sz="8" w:space="0" w:color="CCCCCC"/>
              <w:left w:val="single" w:sz="8" w:space="0" w:color="CCCCCC"/>
              <w:bottom w:val="single" w:sz="8" w:space="0" w:color="000000"/>
              <w:right w:val="single" w:sz="8" w:space="0" w:color="FFFFFF"/>
            </w:tcBorders>
            <w:tcMar>
              <w:top w:w="40" w:type="dxa"/>
              <w:left w:w="40" w:type="dxa"/>
              <w:bottom w:w="40" w:type="dxa"/>
              <w:right w:w="40" w:type="dxa"/>
            </w:tcMar>
            <w:vAlign w:val="center"/>
          </w:tcPr>
          <w:p w14:paraId="2041E821" w14:textId="77777777" w:rsidR="00DF4FF0" w:rsidRPr="00CA13A7" w:rsidRDefault="00000000">
            <w:pPr>
              <w:rPr>
                <w:sz w:val="20"/>
                <w:szCs w:val="20"/>
                <w:lang w:val="pt-BR"/>
              </w:rPr>
            </w:pPr>
            <w:r w:rsidRPr="00CA13A7">
              <w:rPr>
                <w:sz w:val="20"/>
                <w:szCs w:val="20"/>
                <w:lang w:val="pt-BR"/>
              </w:rPr>
              <w:t>- Projetos de incentivos fiscais para a produção de hidrogênio verde.</w:t>
            </w:r>
          </w:p>
          <w:p w14:paraId="2041E822" w14:textId="77777777" w:rsidR="00DF4FF0" w:rsidRPr="00CA13A7" w:rsidRDefault="00000000">
            <w:pPr>
              <w:rPr>
                <w:sz w:val="20"/>
                <w:szCs w:val="20"/>
                <w:lang w:val="pt-BR"/>
              </w:rPr>
            </w:pPr>
            <w:r w:rsidRPr="00CA13A7">
              <w:rPr>
                <w:sz w:val="20"/>
                <w:szCs w:val="20"/>
                <w:lang w:val="pt-BR"/>
              </w:rPr>
              <w:t>- Regulamentação sobre a infraestrutura de produção, distribuição e exportação.</w:t>
            </w:r>
          </w:p>
        </w:tc>
      </w:tr>
      <w:tr w:rsidR="00DF4FF0" w:rsidRPr="00CA13A7" w14:paraId="2041E827" w14:textId="77777777">
        <w:trPr>
          <w:trHeight w:val="975"/>
          <w:jc w:val="center"/>
        </w:trPr>
        <w:tc>
          <w:tcPr>
            <w:tcW w:w="4422" w:type="dxa"/>
            <w:tcBorders>
              <w:top w:val="single" w:sz="8" w:space="0" w:color="CCCCCC"/>
              <w:left w:val="single" w:sz="8" w:space="0" w:color="FFFFFF"/>
              <w:bottom w:val="single" w:sz="8" w:space="0" w:color="000000"/>
              <w:right w:val="single" w:sz="8" w:space="0" w:color="000000"/>
            </w:tcBorders>
            <w:tcMar>
              <w:top w:w="40" w:type="dxa"/>
              <w:left w:w="40" w:type="dxa"/>
              <w:bottom w:w="40" w:type="dxa"/>
              <w:right w:w="40" w:type="dxa"/>
            </w:tcMar>
            <w:vAlign w:val="center"/>
          </w:tcPr>
          <w:p w14:paraId="2041E824" w14:textId="77777777" w:rsidR="00DF4FF0" w:rsidRDefault="00000000">
            <w:pPr>
              <w:ind w:firstLine="425"/>
              <w:rPr>
                <w:sz w:val="20"/>
                <w:szCs w:val="20"/>
              </w:rPr>
            </w:pPr>
            <w:proofErr w:type="spellStart"/>
            <w:r>
              <w:rPr>
                <w:sz w:val="20"/>
                <w:szCs w:val="20"/>
              </w:rPr>
              <w:t>Andamento</w:t>
            </w:r>
            <w:proofErr w:type="spellEnd"/>
            <w:r>
              <w:rPr>
                <w:sz w:val="20"/>
                <w:szCs w:val="20"/>
              </w:rPr>
              <w:t xml:space="preserve"> </w:t>
            </w:r>
            <w:proofErr w:type="spellStart"/>
            <w:r>
              <w:rPr>
                <w:sz w:val="20"/>
                <w:szCs w:val="20"/>
              </w:rPr>
              <w:t>Legislativo</w:t>
            </w:r>
            <w:proofErr w:type="spellEnd"/>
          </w:p>
        </w:tc>
        <w:tc>
          <w:tcPr>
            <w:tcW w:w="4422" w:type="dxa"/>
            <w:tcBorders>
              <w:top w:val="single" w:sz="8" w:space="0" w:color="CCCCCC"/>
              <w:left w:val="single" w:sz="8" w:space="0" w:color="CCCCCC"/>
              <w:bottom w:val="single" w:sz="8" w:space="0" w:color="000000"/>
              <w:right w:val="single" w:sz="8" w:space="0" w:color="FFFFFF"/>
            </w:tcBorders>
            <w:tcMar>
              <w:top w:w="40" w:type="dxa"/>
              <w:left w:w="40" w:type="dxa"/>
              <w:bottom w:w="40" w:type="dxa"/>
              <w:right w:w="40" w:type="dxa"/>
            </w:tcMar>
            <w:vAlign w:val="center"/>
          </w:tcPr>
          <w:p w14:paraId="2041E825" w14:textId="77777777" w:rsidR="00DF4FF0" w:rsidRPr="00CA13A7" w:rsidRDefault="00000000">
            <w:pPr>
              <w:rPr>
                <w:sz w:val="20"/>
                <w:szCs w:val="20"/>
                <w:lang w:val="pt-BR"/>
              </w:rPr>
            </w:pPr>
            <w:r w:rsidRPr="00CA13A7">
              <w:rPr>
                <w:sz w:val="20"/>
                <w:szCs w:val="20"/>
                <w:lang w:val="pt-BR"/>
              </w:rPr>
              <w:t>- Projetos de Lei em discussão no Congresso para definir os marcos regulatórios.</w:t>
            </w:r>
          </w:p>
          <w:p w14:paraId="2041E826" w14:textId="77777777" w:rsidR="00DF4FF0" w:rsidRPr="00CA13A7" w:rsidRDefault="00000000">
            <w:pPr>
              <w:rPr>
                <w:sz w:val="20"/>
                <w:szCs w:val="20"/>
                <w:lang w:val="pt-BR"/>
              </w:rPr>
            </w:pPr>
            <w:r w:rsidRPr="00CA13A7">
              <w:rPr>
                <w:sz w:val="20"/>
                <w:szCs w:val="20"/>
                <w:lang w:val="pt-BR"/>
              </w:rPr>
              <w:t>- Parcerias público-privadas para construção de usinas e hidrovias voltadas à exportação.</w:t>
            </w:r>
          </w:p>
        </w:tc>
      </w:tr>
      <w:tr w:rsidR="00DF4FF0" w:rsidRPr="00CA13A7" w14:paraId="2041E82B" w14:textId="77777777">
        <w:trPr>
          <w:trHeight w:val="975"/>
          <w:jc w:val="center"/>
        </w:trPr>
        <w:tc>
          <w:tcPr>
            <w:tcW w:w="4422" w:type="dxa"/>
            <w:tcBorders>
              <w:top w:val="single" w:sz="8" w:space="0" w:color="CCCCCC"/>
              <w:left w:val="single" w:sz="8" w:space="0" w:color="FFFFFF"/>
              <w:bottom w:val="single" w:sz="8" w:space="0" w:color="000000"/>
              <w:right w:val="single" w:sz="8" w:space="0" w:color="000000"/>
            </w:tcBorders>
            <w:tcMar>
              <w:top w:w="40" w:type="dxa"/>
              <w:left w:w="40" w:type="dxa"/>
              <w:bottom w:w="40" w:type="dxa"/>
              <w:right w:w="40" w:type="dxa"/>
            </w:tcMar>
            <w:vAlign w:val="center"/>
          </w:tcPr>
          <w:p w14:paraId="2041E828" w14:textId="77777777" w:rsidR="00DF4FF0" w:rsidRDefault="00000000">
            <w:pPr>
              <w:ind w:firstLine="425"/>
              <w:rPr>
                <w:sz w:val="20"/>
                <w:szCs w:val="20"/>
              </w:rPr>
            </w:pPr>
            <w:proofErr w:type="spellStart"/>
            <w:r>
              <w:rPr>
                <w:sz w:val="20"/>
                <w:szCs w:val="20"/>
              </w:rPr>
              <w:t>Incentivos</w:t>
            </w:r>
            <w:proofErr w:type="spellEnd"/>
          </w:p>
        </w:tc>
        <w:tc>
          <w:tcPr>
            <w:tcW w:w="4422" w:type="dxa"/>
            <w:tcBorders>
              <w:top w:val="single" w:sz="8" w:space="0" w:color="CCCCCC"/>
              <w:left w:val="single" w:sz="8" w:space="0" w:color="CCCCCC"/>
              <w:bottom w:val="single" w:sz="8" w:space="0" w:color="000000"/>
              <w:right w:val="single" w:sz="8" w:space="0" w:color="FFFFFF"/>
            </w:tcBorders>
            <w:tcMar>
              <w:top w:w="40" w:type="dxa"/>
              <w:left w:w="40" w:type="dxa"/>
              <w:bottom w:w="40" w:type="dxa"/>
              <w:right w:w="40" w:type="dxa"/>
            </w:tcMar>
            <w:vAlign w:val="center"/>
          </w:tcPr>
          <w:p w14:paraId="2041E829" w14:textId="77777777" w:rsidR="00DF4FF0" w:rsidRPr="00CA13A7" w:rsidRDefault="00000000">
            <w:pPr>
              <w:rPr>
                <w:sz w:val="20"/>
                <w:szCs w:val="20"/>
                <w:lang w:val="pt-BR"/>
              </w:rPr>
            </w:pPr>
            <w:r w:rsidRPr="00CA13A7">
              <w:rPr>
                <w:sz w:val="20"/>
                <w:szCs w:val="20"/>
                <w:lang w:val="pt-BR"/>
              </w:rPr>
              <w:t>- Propostas de redução de impostos para empresas que investirem em hidrogênio verde.</w:t>
            </w:r>
          </w:p>
          <w:p w14:paraId="2041E82A" w14:textId="77777777" w:rsidR="00DF4FF0" w:rsidRPr="00CA13A7" w:rsidRDefault="00000000">
            <w:pPr>
              <w:rPr>
                <w:sz w:val="20"/>
                <w:szCs w:val="20"/>
                <w:lang w:val="pt-BR"/>
              </w:rPr>
            </w:pPr>
            <w:r w:rsidRPr="00CA13A7">
              <w:rPr>
                <w:sz w:val="20"/>
                <w:szCs w:val="20"/>
                <w:lang w:val="pt-BR"/>
              </w:rPr>
              <w:t>- Financiamento para pesquisa e desenvolvimento de novas tecnologias nesse setor.</w:t>
            </w:r>
          </w:p>
        </w:tc>
      </w:tr>
      <w:tr w:rsidR="00DF4FF0" w:rsidRPr="00CA13A7" w14:paraId="2041E82F" w14:textId="77777777">
        <w:trPr>
          <w:trHeight w:val="750"/>
          <w:jc w:val="center"/>
        </w:trPr>
        <w:tc>
          <w:tcPr>
            <w:tcW w:w="4422" w:type="dxa"/>
            <w:tcBorders>
              <w:top w:val="single" w:sz="8" w:space="0" w:color="CCCCCC"/>
              <w:left w:val="single" w:sz="8" w:space="0" w:color="FFFFFF"/>
              <w:bottom w:val="single" w:sz="8" w:space="0" w:color="000000"/>
              <w:right w:val="single" w:sz="8" w:space="0" w:color="000000"/>
            </w:tcBorders>
            <w:tcMar>
              <w:top w:w="40" w:type="dxa"/>
              <w:left w:w="40" w:type="dxa"/>
              <w:bottom w:w="40" w:type="dxa"/>
              <w:right w:w="40" w:type="dxa"/>
            </w:tcMar>
            <w:vAlign w:val="center"/>
          </w:tcPr>
          <w:p w14:paraId="2041E82C" w14:textId="77777777" w:rsidR="00DF4FF0" w:rsidRDefault="00000000">
            <w:pPr>
              <w:ind w:firstLine="425"/>
              <w:rPr>
                <w:sz w:val="20"/>
                <w:szCs w:val="20"/>
              </w:rPr>
            </w:pPr>
            <w:r>
              <w:rPr>
                <w:sz w:val="20"/>
                <w:szCs w:val="20"/>
              </w:rPr>
              <w:t>Metas</w:t>
            </w:r>
          </w:p>
        </w:tc>
        <w:tc>
          <w:tcPr>
            <w:tcW w:w="4422" w:type="dxa"/>
            <w:tcBorders>
              <w:top w:val="single" w:sz="8" w:space="0" w:color="CCCCCC"/>
              <w:left w:val="single" w:sz="8" w:space="0" w:color="CCCCCC"/>
              <w:bottom w:val="single" w:sz="8" w:space="0" w:color="000000"/>
              <w:right w:val="single" w:sz="8" w:space="0" w:color="FFFFFF"/>
            </w:tcBorders>
            <w:tcMar>
              <w:top w:w="40" w:type="dxa"/>
              <w:left w:w="40" w:type="dxa"/>
              <w:bottom w:w="40" w:type="dxa"/>
              <w:right w:w="40" w:type="dxa"/>
            </w:tcMar>
            <w:vAlign w:val="center"/>
          </w:tcPr>
          <w:p w14:paraId="2041E82D" w14:textId="77777777" w:rsidR="00DF4FF0" w:rsidRPr="00CA13A7" w:rsidRDefault="00000000">
            <w:pPr>
              <w:jc w:val="left"/>
              <w:rPr>
                <w:sz w:val="20"/>
                <w:szCs w:val="20"/>
                <w:lang w:val="pt-BR"/>
              </w:rPr>
            </w:pPr>
            <w:r w:rsidRPr="00CA13A7">
              <w:rPr>
                <w:sz w:val="20"/>
                <w:szCs w:val="20"/>
                <w:lang w:val="pt-BR"/>
              </w:rPr>
              <w:t>- Aumentar a capacidade de produção de hidrogênio verde no Brasil.</w:t>
            </w:r>
          </w:p>
          <w:p w14:paraId="2041E82E" w14:textId="77777777" w:rsidR="00DF4FF0" w:rsidRPr="00CA13A7" w:rsidRDefault="00000000">
            <w:pPr>
              <w:rPr>
                <w:sz w:val="20"/>
                <w:szCs w:val="20"/>
                <w:lang w:val="pt-BR"/>
              </w:rPr>
            </w:pPr>
            <w:r w:rsidRPr="00CA13A7">
              <w:rPr>
                <w:sz w:val="20"/>
                <w:szCs w:val="20"/>
                <w:lang w:val="pt-BR"/>
              </w:rPr>
              <w:t>- Estabelecer o Brasil como um dos principais exportadores mundiais de hidrogênio verde.</w:t>
            </w:r>
          </w:p>
        </w:tc>
      </w:tr>
    </w:tbl>
    <w:p w14:paraId="2041E830" w14:textId="4A3C4116" w:rsidR="00DF4FF0" w:rsidRPr="00CA13A7" w:rsidRDefault="00000000">
      <w:pPr>
        <w:spacing w:after="240"/>
        <w:jc w:val="center"/>
        <w:rPr>
          <w:sz w:val="20"/>
          <w:szCs w:val="20"/>
          <w:lang w:val="pt-BR"/>
        </w:rPr>
      </w:pPr>
      <w:r w:rsidRPr="00CA13A7">
        <w:rPr>
          <w:sz w:val="18"/>
          <w:szCs w:val="18"/>
          <w:lang w:val="pt-BR"/>
        </w:rPr>
        <w:t>Fonte: Adaptado d</w:t>
      </w:r>
      <w:r w:rsidR="00A65CAE" w:rsidRPr="00CA13A7">
        <w:rPr>
          <w:sz w:val="18"/>
          <w:szCs w:val="18"/>
          <w:lang w:val="pt-BR"/>
        </w:rPr>
        <w:t>e</w:t>
      </w:r>
      <w:r w:rsidRPr="00CA13A7">
        <w:rPr>
          <w:sz w:val="18"/>
          <w:szCs w:val="18"/>
          <w:lang w:val="pt-BR"/>
        </w:rPr>
        <w:t xml:space="preserve"> PL nº 2308/2023.</w:t>
      </w:r>
    </w:p>
    <w:p w14:paraId="2041E831" w14:textId="77777777" w:rsidR="00DF4FF0" w:rsidRPr="00CA13A7" w:rsidRDefault="00000000">
      <w:pPr>
        <w:spacing w:before="200" w:after="120"/>
        <w:jc w:val="left"/>
        <w:rPr>
          <w:i/>
          <w:sz w:val="26"/>
          <w:szCs w:val="26"/>
          <w:lang w:val="pt-BR"/>
        </w:rPr>
      </w:pPr>
      <w:r w:rsidRPr="00CA13A7">
        <w:rPr>
          <w:i/>
          <w:sz w:val="20"/>
          <w:szCs w:val="20"/>
          <w:lang w:val="pt-BR"/>
        </w:rPr>
        <w:t>3.5. Instrumentos regulatórios: ano de 2024</w:t>
      </w:r>
    </w:p>
    <w:p w14:paraId="2041E832" w14:textId="77777777" w:rsidR="00DF4FF0" w:rsidRPr="00CA13A7" w:rsidRDefault="00000000">
      <w:pPr>
        <w:pBdr>
          <w:top w:val="nil"/>
          <w:left w:val="nil"/>
          <w:bottom w:val="nil"/>
          <w:right w:val="nil"/>
          <w:between w:val="nil"/>
        </w:pBdr>
        <w:ind w:firstLine="425"/>
        <w:rPr>
          <w:i/>
          <w:sz w:val="20"/>
          <w:szCs w:val="20"/>
          <w:lang w:val="pt-BR"/>
        </w:rPr>
      </w:pPr>
      <w:r w:rsidRPr="00CA13A7">
        <w:rPr>
          <w:sz w:val="20"/>
          <w:szCs w:val="20"/>
          <w:lang w:val="pt-BR"/>
        </w:rPr>
        <w:t>Em 2024, houve a promulgação da Lei nº 14.948, originada a partir do Projeto de Lei nº 2308/2023, trazendo novas diretrizes para o setor de Hidrogênio no Brasil.</w:t>
      </w:r>
    </w:p>
    <w:p w14:paraId="2041E833" w14:textId="77777777" w:rsidR="00DF4FF0" w:rsidRPr="00CA13A7" w:rsidRDefault="00000000">
      <w:pPr>
        <w:spacing w:before="240" w:after="120"/>
        <w:jc w:val="left"/>
        <w:rPr>
          <w:i/>
          <w:sz w:val="20"/>
          <w:szCs w:val="20"/>
          <w:vertAlign w:val="superscript"/>
          <w:lang w:val="pt-BR"/>
        </w:rPr>
      </w:pPr>
      <w:r w:rsidRPr="00CA13A7">
        <w:rPr>
          <w:sz w:val="20"/>
          <w:szCs w:val="20"/>
          <w:lang w:val="pt-BR"/>
        </w:rPr>
        <w:t>3.5.1. Lei nº 14.948, de 2 de agosto de 2024</w:t>
      </w:r>
      <w:r>
        <w:rPr>
          <w:sz w:val="20"/>
          <w:szCs w:val="20"/>
          <w:vertAlign w:val="superscript"/>
        </w:rPr>
        <w:footnoteReference w:id="4"/>
      </w:r>
    </w:p>
    <w:p w14:paraId="2041E834" w14:textId="77777777" w:rsidR="00DF4FF0" w:rsidRPr="00CA13A7" w:rsidRDefault="00000000">
      <w:pPr>
        <w:pBdr>
          <w:top w:val="nil"/>
          <w:left w:val="nil"/>
          <w:bottom w:val="nil"/>
          <w:right w:val="nil"/>
          <w:between w:val="nil"/>
        </w:pBdr>
        <w:ind w:firstLine="425"/>
        <w:rPr>
          <w:sz w:val="20"/>
          <w:szCs w:val="20"/>
          <w:lang w:val="pt-BR"/>
        </w:rPr>
      </w:pPr>
      <w:r w:rsidRPr="00CA13A7">
        <w:rPr>
          <w:sz w:val="20"/>
          <w:szCs w:val="20"/>
          <w:lang w:val="pt-BR"/>
        </w:rPr>
        <w:t xml:space="preserve">A Lei nº 14.948 institui o marco legal do hidrogênio de baixa emissão de carbono no Brasil, e foi implementada, conforme mostrado na subseção 3.4.3, a partir do Projeto de Lei nº 2308/2023, estabelecendo assim, a Política Nacional do Hidrogênio de Baixa Emissão de Carbono (PNHBC). Seu objetivo é promover o uso e a produção de hidrogênio de baixa emissão como parte da transição energética nacional, além de fomentar o desenvolvimento sustentável e atrair investimentos para a infraestrutura e pesquisa tecnológica nesse setor. </w:t>
      </w:r>
    </w:p>
    <w:p w14:paraId="2041E835" w14:textId="77777777" w:rsidR="00DF4FF0" w:rsidRPr="00CA13A7" w:rsidRDefault="00000000">
      <w:pPr>
        <w:pBdr>
          <w:top w:val="nil"/>
          <w:left w:val="nil"/>
          <w:bottom w:val="nil"/>
          <w:right w:val="nil"/>
          <w:between w:val="nil"/>
        </w:pBdr>
        <w:ind w:firstLine="425"/>
        <w:rPr>
          <w:sz w:val="20"/>
          <w:szCs w:val="20"/>
          <w:lang w:val="pt-BR"/>
        </w:rPr>
      </w:pPr>
      <w:r w:rsidRPr="00CA13A7">
        <w:rPr>
          <w:sz w:val="20"/>
          <w:szCs w:val="20"/>
          <w:lang w:val="pt-BR"/>
        </w:rPr>
        <w:t>Entre os instrumentos da referida Lei, destacam-se o Regime Especial de Incentivos para a Produção de Hidrogênio de Baixa Emissão de Carbono (</w:t>
      </w:r>
      <w:proofErr w:type="spellStart"/>
      <w:r w:rsidRPr="00CA13A7">
        <w:rPr>
          <w:sz w:val="20"/>
          <w:szCs w:val="20"/>
          <w:lang w:val="pt-BR"/>
        </w:rPr>
        <w:t>Rehidro</w:t>
      </w:r>
      <w:proofErr w:type="spellEnd"/>
      <w:r w:rsidRPr="00CA13A7">
        <w:rPr>
          <w:sz w:val="20"/>
          <w:szCs w:val="20"/>
          <w:lang w:val="pt-BR"/>
        </w:rPr>
        <w:t>) e o Programa de Desenvolvimento do Hidrogênio de Baixa Emissão de Carbono (PHBC). Além disso, a lei prevê incentivos fiscais e regulatórios, e a criação de um comitê gestor para coordenar as diretrizes da política.</w:t>
      </w:r>
    </w:p>
    <w:p w14:paraId="2041E836" w14:textId="77777777" w:rsidR="00DF4FF0" w:rsidRPr="00CA13A7" w:rsidRDefault="00000000">
      <w:pPr>
        <w:pBdr>
          <w:top w:val="nil"/>
          <w:left w:val="nil"/>
          <w:bottom w:val="nil"/>
          <w:right w:val="nil"/>
          <w:between w:val="nil"/>
        </w:pBdr>
        <w:ind w:firstLine="420"/>
        <w:rPr>
          <w:sz w:val="20"/>
          <w:szCs w:val="20"/>
          <w:lang w:val="pt-BR"/>
        </w:rPr>
      </w:pPr>
      <w:r w:rsidRPr="00CA13A7">
        <w:rPr>
          <w:sz w:val="20"/>
          <w:szCs w:val="20"/>
          <w:lang w:val="pt-BR"/>
        </w:rPr>
        <w:t>Essas ações visam estimular a descarbonização da economia, promover a segurança energética e reduzir a dependência de insumos importados, como fertilizantes nitrogenados, ao mesmo tempo que protegem o meio ambiente e impulsionam o desenvolvimento da cadeia produtiva nacional.</w:t>
      </w:r>
    </w:p>
    <w:p w14:paraId="2041E837" w14:textId="77777777" w:rsidR="00DF4FF0" w:rsidRPr="00CA13A7" w:rsidRDefault="00000000">
      <w:pPr>
        <w:pBdr>
          <w:top w:val="nil"/>
          <w:left w:val="nil"/>
          <w:bottom w:val="nil"/>
          <w:right w:val="nil"/>
          <w:between w:val="nil"/>
        </w:pBdr>
        <w:ind w:firstLine="425"/>
        <w:rPr>
          <w:sz w:val="20"/>
          <w:szCs w:val="20"/>
          <w:lang w:val="pt-BR"/>
        </w:rPr>
      </w:pPr>
      <w:r w:rsidRPr="00CA13A7">
        <w:rPr>
          <w:sz w:val="20"/>
          <w:szCs w:val="20"/>
          <w:lang w:val="pt-BR"/>
        </w:rPr>
        <w:t>Conforme a Lei nº 14.299/2022, que estabeleceu a Política Nacional de Hidrogênio no Brasil, a legislação visa estruturar e impulsionar a utilização do hidrogênio como um vetor estratégico para a transição energética do país. A Lei delineia a criação de um ambiente regulatório e institucional propício para o desenvolvimento de tecnologias de produção, armazenamento e distribuição de hidrogênio, com foco no hidrogênio verde, aquele produzido a partir de fontes renováveis de energia. Este marco regulatório é essencial para o Brasil se posicionar como um líder global na economia do hidrogênio, um mercado emergente com enorme potencial de crescimento.</w:t>
      </w:r>
    </w:p>
    <w:p w14:paraId="2041E838" w14:textId="77777777" w:rsidR="00DF4FF0" w:rsidRPr="00CA13A7" w:rsidRDefault="00000000">
      <w:pPr>
        <w:pBdr>
          <w:top w:val="nil"/>
          <w:left w:val="nil"/>
          <w:bottom w:val="nil"/>
          <w:right w:val="nil"/>
          <w:between w:val="nil"/>
        </w:pBdr>
        <w:ind w:firstLine="425"/>
        <w:rPr>
          <w:sz w:val="20"/>
          <w:szCs w:val="20"/>
          <w:lang w:val="pt-BR"/>
        </w:rPr>
      </w:pPr>
      <w:r w:rsidRPr="00CA13A7">
        <w:rPr>
          <w:sz w:val="20"/>
          <w:szCs w:val="20"/>
          <w:lang w:val="pt-BR"/>
        </w:rPr>
        <w:t>A Lei prevê, ainda, o incentivo à pesquisa, inovação e desenvolvimento de tecnologias, criando mecanismos que estimulem a cooperação entre os setores público e privado. A formação de profissionais qualificados para o setor também é um ponto central da legislação, com foco na educação e capacitação, a fim de garantir que o país tenha a mão de obra necessária para suportar o crescimento da indústria do hidrogênio. Nesse contexto, programas de capacitação e formação técnica são destacados, com apoio à implementação de centros de pesquisa e inovação voltados ao hidrogênio.</w:t>
      </w:r>
    </w:p>
    <w:p w14:paraId="2041E839" w14:textId="77777777" w:rsidR="00DF4FF0" w:rsidRPr="00CA13A7" w:rsidRDefault="00000000">
      <w:pPr>
        <w:pBdr>
          <w:top w:val="nil"/>
          <w:left w:val="nil"/>
          <w:bottom w:val="nil"/>
          <w:right w:val="nil"/>
          <w:between w:val="nil"/>
        </w:pBdr>
        <w:ind w:firstLine="425"/>
        <w:rPr>
          <w:sz w:val="20"/>
          <w:szCs w:val="20"/>
          <w:lang w:val="pt-BR"/>
        </w:rPr>
      </w:pPr>
      <w:r w:rsidRPr="00CA13A7">
        <w:rPr>
          <w:sz w:val="20"/>
          <w:szCs w:val="20"/>
          <w:lang w:val="pt-BR"/>
        </w:rPr>
        <w:t>Outro aspecto fundamental da Lei nº 14.948 é o incentivo à instalação de infraestrutura necessária para a produção, transporte e armazenamento do hidrogênio, visando a viabilização de projetos de grande escala. Além disso, a legislação contempla a criação de um ambiente de mercado competitivo, com a implementação de políticas públicas de fomento, isenções fiscais e facilitação de investimentos. A Lei também define que o governo federal deverá criar um sistema de incentivos financeiros, incluindo subsídios e financiamento de projetos, além de promover parcerias internacionais para o intercâmbio de tecnologias e experiências.</w:t>
      </w:r>
    </w:p>
    <w:p w14:paraId="2041E83A" w14:textId="77777777" w:rsidR="00DF4FF0" w:rsidRPr="00CA13A7" w:rsidRDefault="00000000">
      <w:pPr>
        <w:pBdr>
          <w:top w:val="nil"/>
          <w:left w:val="nil"/>
          <w:bottom w:val="nil"/>
          <w:right w:val="nil"/>
          <w:between w:val="nil"/>
        </w:pBdr>
        <w:ind w:firstLine="425"/>
        <w:rPr>
          <w:sz w:val="20"/>
          <w:szCs w:val="20"/>
          <w:lang w:val="pt-BR"/>
        </w:rPr>
      </w:pPr>
      <w:r w:rsidRPr="00CA13A7">
        <w:rPr>
          <w:sz w:val="20"/>
          <w:szCs w:val="20"/>
          <w:lang w:val="pt-BR"/>
        </w:rPr>
        <w:t>A política de hidrogênio verde, definida por esta Lei, também busca contribuir para a descarbonização de setores chave da economia, como o transporte, a indústria e a geração de energia. A transição energética proposta pelo governo tem como objetivo reduzir as emissões de gases de efeito estufa, alinhando o Brasil aos compromissos internacionais de sustentabilidade e mitigação das mudanças climáticas. A Lei, portanto, representa um passo significativo para a modernização da matriz energética brasileira, tornando o hidrogênio uma peça-chave na estratégia de descarbonização do país.</w:t>
      </w:r>
    </w:p>
    <w:p w14:paraId="2041E83B" w14:textId="77777777" w:rsidR="00DF4FF0" w:rsidRPr="00CA13A7" w:rsidRDefault="00000000">
      <w:pPr>
        <w:pBdr>
          <w:top w:val="nil"/>
          <w:left w:val="nil"/>
          <w:bottom w:val="nil"/>
          <w:right w:val="nil"/>
          <w:between w:val="nil"/>
        </w:pBdr>
        <w:ind w:firstLine="425"/>
        <w:rPr>
          <w:sz w:val="20"/>
          <w:szCs w:val="20"/>
          <w:lang w:val="pt-BR"/>
        </w:rPr>
      </w:pPr>
      <w:r w:rsidRPr="00CA13A7">
        <w:rPr>
          <w:sz w:val="20"/>
          <w:szCs w:val="20"/>
          <w:lang w:val="pt-BR"/>
        </w:rPr>
        <w:t>Além disso, a Lei nº 14.299/2022 determina a implementação de mecanismos de monitoramento, controle e avaliação das ações previstas, com vistas a garantir a eficiência e a efetividade das políticas públicas adotadas. A fiscalização será realizada por órgãos competentes, com a colaboração de entidades de pesquisa e organizações da sociedade civil, buscando a transparência e a boa aplicação dos recursos.</w:t>
      </w:r>
    </w:p>
    <w:p w14:paraId="2041E83C" w14:textId="77777777" w:rsidR="00DF4FF0" w:rsidRPr="00CA13A7" w:rsidRDefault="00000000">
      <w:pPr>
        <w:spacing w:before="200" w:after="120"/>
        <w:jc w:val="left"/>
        <w:rPr>
          <w:i/>
          <w:sz w:val="20"/>
          <w:szCs w:val="20"/>
          <w:lang w:val="pt-BR"/>
        </w:rPr>
      </w:pPr>
      <w:r w:rsidRPr="00CA13A7">
        <w:rPr>
          <w:i/>
          <w:sz w:val="20"/>
          <w:szCs w:val="20"/>
          <w:lang w:val="pt-BR"/>
        </w:rPr>
        <w:t>3.6. Resumo dos instrumentos regulatórios período 2020 - 2024</w:t>
      </w:r>
    </w:p>
    <w:p w14:paraId="2041E83D" w14:textId="77777777" w:rsidR="00DF4FF0" w:rsidRPr="00CA13A7" w:rsidRDefault="00000000">
      <w:pPr>
        <w:ind w:firstLine="425"/>
        <w:rPr>
          <w:sz w:val="20"/>
          <w:szCs w:val="20"/>
          <w:lang w:val="pt-BR"/>
        </w:rPr>
      </w:pPr>
      <w:r w:rsidRPr="00CA13A7">
        <w:rPr>
          <w:sz w:val="20"/>
          <w:szCs w:val="20"/>
          <w:lang w:val="pt-BR"/>
        </w:rPr>
        <w:t xml:space="preserve">O presente tópico mostra um resumo simplificado dos instrumentos regulatórios mostrados nas subseções 3.1 até 3.5.  Sendo assim, a Tabela 3 ressalta os principais pontos tratados em tais subseções. </w:t>
      </w:r>
    </w:p>
    <w:p w14:paraId="2041E83E" w14:textId="77777777" w:rsidR="00DF4FF0" w:rsidRPr="00CA13A7" w:rsidRDefault="00000000">
      <w:pPr>
        <w:spacing w:before="240" w:after="120"/>
        <w:ind w:left="425" w:right="425"/>
        <w:jc w:val="center"/>
        <w:rPr>
          <w:sz w:val="20"/>
          <w:szCs w:val="20"/>
          <w:lang w:val="pt-BR"/>
        </w:rPr>
      </w:pPr>
      <w:r w:rsidRPr="00CA13A7">
        <w:rPr>
          <w:smallCaps/>
          <w:sz w:val="18"/>
          <w:szCs w:val="18"/>
          <w:lang w:val="pt-BR"/>
        </w:rPr>
        <w:t>Tabela 3.</w:t>
      </w:r>
      <w:r w:rsidRPr="00CA13A7">
        <w:rPr>
          <w:sz w:val="18"/>
          <w:szCs w:val="18"/>
          <w:lang w:val="pt-BR"/>
        </w:rPr>
        <w:t xml:space="preserve"> </w:t>
      </w:r>
      <w:r w:rsidRPr="00CA13A7">
        <w:rPr>
          <w:sz w:val="20"/>
          <w:szCs w:val="20"/>
          <w:lang w:val="pt-BR"/>
        </w:rPr>
        <w:t>Resumo dos instrumentos regulatórios de 2020 a 2024.</w:t>
      </w:r>
    </w:p>
    <w:tbl>
      <w:tblPr>
        <w:tblStyle w:val="a1"/>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948"/>
        <w:gridCol w:w="2948"/>
        <w:gridCol w:w="2948"/>
      </w:tblGrid>
      <w:tr w:rsidR="00DF4FF0" w14:paraId="2041E842" w14:textId="77777777">
        <w:trPr>
          <w:trHeight w:val="315"/>
          <w:jc w:val="center"/>
        </w:trPr>
        <w:tc>
          <w:tcPr>
            <w:tcW w:w="2948" w:type="dxa"/>
            <w:tcBorders>
              <w:top w:val="single" w:sz="8" w:space="0" w:color="000000"/>
              <w:left w:val="single" w:sz="8" w:space="0" w:color="FFFFFF"/>
              <w:bottom w:val="single" w:sz="8" w:space="0" w:color="000000"/>
              <w:right w:val="single" w:sz="8" w:space="0" w:color="000000"/>
            </w:tcBorders>
            <w:tcMar>
              <w:top w:w="40" w:type="dxa"/>
              <w:left w:w="40" w:type="dxa"/>
              <w:bottom w:w="40" w:type="dxa"/>
              <w:right w:w="40" w:type="dxa"/>
            </w:tcMar>
            <w:vAlign w:val="center"/>
          </w:tcPr>
          <w:p w14:paraId="2041E83F" w14:textId="77777777" w:rsidR="00DF4FF0" w:rsidRDefault="00000000">
            <w:pPr>
              <w:ind w:firstLine="425"/>
              <w:jc w:val="center"/>
              <w:rPr>
                <w:sz w:val="20"/>
                <w:szCs w:val="20"/>
              </w:rPr>
            </w:pPr>
            <w:proofErr w:type="spellStart"/>
            <w:r>
              <w:rPr>
                <w:sz w:val="20"/>
                <w:szCs w:val="20"/>
              </w:rPr>
              <w:t>Instrumento</w:t>
            </w:r>
            <w:proofErr w:type="spellEnd"/>
          </w:p>
        </w:tc>
        <w:tc>
          <w:tcPr>
            <w:tcW w:w="29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041E840" w14:textId="77777777" w:rsidR="00DF4FF0" w:rsidRDefault="00000000">
            <w:pPr>
              <w:ind w:firstLine="425"/>
              <w:jc w:val="left"/>
              <w:rPr>
                <w:sz w:val="20"/>
                <w:szCs w:val="20"/>
              </w:rPr>
            </w:pPr>
            <w:r>
              <w:rPr>
                <w:sz w:val="20"/>
                <w:szCs w:val="20"/>
              </w:rPr>
              <w:t xml:space="preserve">    Data</w:t>
            </w:r>
          </w:p>
        </w:tc>
        <w:tc>
          <w:tcPr>
            <w:tcW w:w="2948" w:type="dxa"/>
            <w:tcBorders>
              <w:top w:val="single" w:sz="8" w:space="0" w:color="000000"/>
              <w:left w:val="single" w:sz="8" w:space="0" w:color="CCCCCC"/>
              <w:bottom w:val="single" w:sz="8" w:space="0" w:color="000000"/>
              <w:right w:val="single" w:sz="8" w:space="0" w:color="FFFFFF"/>
            </w:tcBorders>
            <w:tcMar>
              <w:top w:w="40" w:type="dxa"/>
              <w:left w:w="40" w:type="dxa"/>
              <w:bottom w:w="40" w:type="dxa"/>
              <w:right w:w="40" w:type="dxa"/>
            </w:tcMar>
            <w:vAlign w:val="center"/>
          </w:tcPr>
          <w:p w14:paraId="2041E841" w14:textId="77777777" w:rsidR="00DF4FF0" w:rsidRDefault="00000000">
            <w:pPr>
              <w:ind w:firstLine="425"/>
              <w:jc w:val="left"/>
              <w:rPr>
                <w:sz w:val="20"/>
                <w:szCs w:val="20"/>
              </w:rPr>
            </w:pPr>
            <w:r>
              <w:rPr>
                <w:sz w:val="20"/>
                <w:szCs w:val="20"/>
              </w:rPr>
              <w:t xml:space="preserve">             </w:t>
            </w:r>
            <w:proofErr w:type="spellStart"/>
            <w:r>
              <w:rPr>
                <w:sz w:val="20"/>
                <w:szCs w:val="20"/>
              </w:rPr>
              <w:t>Descrição</w:t>
            </w:r>
            <w:proofErr w:type="spellEnd"/>
          </w:p>
        </w:tc>
      </w:tr>
      <w:tr w:rsidR="00DF4FF0" w:rsidRPr="00CA13A7" w14:paraId="2041E846" w14:textId="77777777">
        <w:trPr>
          <w:trHeight w:val="1274"/>
          <w:jc w:val="center"/>
        </w:trPr>
        <w:tc>
          <w:tcPr>
            <w:tcW w:w="2948" w:type="dxa"/>
            <w:tcBorders>
              <w:top w:val="single" w:sz="8" w:space="0" w:color="CCCCCC"/>
              <w:left w:val="single" w:sz="8" w:space="0" w:color="FFFFFF"/>
              <w:bottom w:val="single" w:sz="8" w:space="0" w:color="000000"/>
              <w:right w:val="single" w:sz="8" w:space="0" w:color="000000"/>
            </w:tcBorders>
            <w:tcMar>
              <w:top w:w="40" w:type="dxa"/>
              <w:left w:w="40" w:type="dxa"/>
              <w:bottom w:w="40" w:type="dxa"/>
              <w:right w:w="40" w:type="dxa"/>
            </w:tcMar>
            <w:vAlign w:val="center"/>
          </w:tcPr>
          <w:p w14:paraId="2041E843" w14:textId="77777777" w:rsidR="00DF4FF0" w:rsidRDefault="00000000">
            <w:pPr>
              <w:jc w:val="center"/>
              <w:rPr>
                <w:sz w:val="20"/>
                <w:szCs w:val="20"/>
              </w:rPr>
            </w:pPr>
            <w:r>
              <w:rPr>
                <w:sz w:val="20"/>
                <w:szCs w:val="20"/>
              </w:rPr>
              <w:t>Plano Nacional de Energia 2050</w:t>
            </w:r>
          </w:p>
        </w:tc>
        <w:tc>
          <w:tcPr>
            <w:tcW w:w="2948"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041E844" w14:textId="77777777" w:rsidR="00DF4FF0" w:rsidRDefault="00000000">
            <w:pPr>
              <w:jc w:val="center"/>
              <w:rPr>
                <w:sz w:val="20"/>
                <w:szCs w:val="20"/>
              </w:rPr>
            </w:pPr>
            <w:r>
              <w:rPr>
                <w:sz w:val="20"/>
                <w:szCs w:val="20"/>
              </w:rPr>
              <w:t xml:space="preserve">16 de </w:t>
            </w:r>
            <w:proofErr w:type="spellStart"/>
            <w:r>
              <w:rPr>
                <w:sz w:val="20"/>
                <w:szCs w:val="20"/>
              </w:rPr>
              <w:t>Dezembro</w:t>
            </w:r>
            <w:proofErr w:type="spellEnd"/>
            <w:r>
              <w:rPr>
                <w:sz w:val="20"/>
                <w:szCs w:val="20"/>
              </w:rPr>
              <w:t xml:space="preserve"> de 2020</w:t>
            </w:r>
          </w:p>
        </w:tc>
        <w:tc>
          <w:tcPr>
            <w:tcW w:w="2948" w:type="dxa"/>
            <w:tcBorders>
              <w:top w:val="single" w:sz="8" w:space="0" w:color="CCCCCC"/>
              <w:left w:val="single" w:sz="8" w:space="0" w:color="CCCCCC"/>
              <w:bottom w:val="single" w:sz="8" w:space="0" w:color="000000"/>
              <w:right w:val="single" w:sz="8" w:space="0" w:color="FFFFFF"/>
            </w:tcBorders>
            <w:tcMar>
              <w:top w:w="40" w:type="dxa"/>
              <w:left w:w="40" w:type="dxa"/>
              <w:bottom w:w="40" w:type="dxa"/>
              <w:right w:w="40" w:type="dxa"/>
            </w:tcMar>
            <w:vAlign w:val="center"/>
          </w:tcPr>
          <w:p w14:paraId="2041E845" w14:textId="77777777" w:rsidR="00DF4FF0" w:rsidRPr="00CA13A7" w:rsidRDefault="00000000">
            <w:pPr>
              <w:rPr>
                <w:sz w:val="20"/>
                <w:szCs w:val="20"/>
                <w:lang w:val="pt-BR"/>
              </w:rPr>
            </w:pPr>
            <w:r w:rsidRPr="00CA13A7">
              <w:rPr>
                <w:sz w:val="20"/>
                <w:szCs w:val="20"/>
                <w:lang w:val="pt-BR"/>
              </w:rPr>
              <w:t>Conjunto de pesquisas e orientações para a elaboração de uma estratégia de longo prazo voltada ao setor energético do Brasil.</w:t>
            </w:r>
          </w:p>
        </w:tc>
      </w:tr>
      <w:tr w:rsidR="00DF4FF0" w:rsidRPr="00CA13A7" w14:paraId="2041E84A" w14:textId="77777777">
        <w:trPr>
          <w:trHeight w:val="994"/>
          <w:jc w:val="center"/>
        </w:trPr>
        <w:tc>
          <w:tcPr>
            <w:tcW w:w="2948" w:type="dxa"/>
            <w:tcBorders>
              <w:top w:val="single" w:sz="8" w:space="0" w:color="CCCCCC"/>
              <w:left w:val="single" w:sz="8" w:space="0" w:color="FFFFFF"/>
              <w:bottom w:val="single" w:sz="8" w:space="0" w:color="000000"/>
              <w:right w:val="single" w:sz="8" w:space="0" w:color="000000"/>
            </w:tcBorders>
            <w:tcMar>
              <w:top w:w="40" w:type="dxa"/>
              <w:left w:w="40" w:type="dxa"/>
              <w:bottom w:w="40" w:type="dxa"/>
              <w:right w:w="40" w:type="dxa"/>
            </w:tcMar>
            <w:vAlign w:val="center"/>
          </w:tcPr>
          <w:p w14:paraId="2041E847" w14:textId="77777777" w:rsidR="00DF4FF0" w:rsidRDefault="00000000">
            <w:pPr>
              <w:spacing w:before="240" w:after="120"/>
              <w:jc w:val="center"/>
              <w:rPr>
                <w:sz w:val="20"/>
                <w:szCs w:val="20"/>
              </w:rPr>
            </w:pPr>
            <w:proofErr w:type="spellStart"/>
            <w:r>
              <w:rPr>
                <w:sz w:val="20"/>
                <w:szCs w:val="20"/>
              </w:rPr>
              <w:t>Resolução</w:t>
            </w:r>
            <w:proofErr w:type="spellEnd"/>
            <w:r>
              <w:rPr>
                <w:sz w:val="20"/>
                <w:szCs w:val="20"/>
              </w:rPr>
              <w:t xml:space="preserve"> nº 02 / 2021 do CNPE</w:t>
            </w:r>
          </w:p>
        </w:tc>
        <w:tc>
          <w:tcPr>
            <w:tcW w:w="2948"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041E848" w14:textId="77777777" w:rsidR="00DF4FF0" w:rsidRDefault="00000000">
            <w:pPr>
              <w:jc w:val="center"/>
              <w:rPr>
                <w:sz w:val="20"/>
                <w:szCs w:val="20"/>
              </w:rPr>
            </w:pPr>
            <w:r>
              <w:rPr>
                <w:sz w:val="20"/>
                <w:szCs w:val="20"/>
              </w:rPr>
              <w:t xml:space="preserve">09 de </w:t>
            </w:r>
            <w:proofErr w:type="spellStart"/>
            <w:r>
              <w:rPr>
                <w:sz w:val="20"/>
                <w:szCs w:val="20"/>
              </w:rPr>
              <w:t>Março</w:t>
            </w:r>
            <w:proofErr w:type="spellEnd"/>
            <w:r>
              <w:rPr>
                <w:sz w:val="20"/>
                <w:szCs w:val="20"/>
              </w:rPr>
              <w:t xml:space="preserve"> de 2021</w:t>
            </w:r>
          </w:p>
        </w:tc>
        <w:tc>
          <w:tcPr>
            <w:tcW w:w="2948" w:type="dxa"/>
            <w:tcBorders>
              <w:top w:val="single" w:sz="8" w:space="0" w:color="CCCCCC"/>
              <w:left w:val="single" w:sz="8" w:space="0" w:color="CCCCCC"/>
              <w:bottom w:val="single" w:sz="8" w:space="0" w:color="000000"/>
              <w:right w:val="single" w:sz="8" w:space="0" w:color="FFFFFF"/>
            </w:tcBorders>
            <w:tcMar>
              <w:top w:w="40" w:type="dxa"/>
              <w:left w:w="40" w:type="dxa"/>
              <w:bottom w:w="40" w:type="dxa"/>
              <w:right w:w="40" w:type="dxa"/>
            </w:tcMar>
            <w:vAlign w:val="center"/>
          </w:tcPr>
          <w:p w14:paraId="2041E849" w14:textId="77777777" w:rsidR="00DF4FF0" w:rsidRPr="00CA13A7" w:rsidRDefault="00000000">
            <w:pPr>
              <w:rPr>
                <w:sz w:val="20"/>
                <w:szCs w:val="20"/>
                <w:lang w:val="pt-BR"/>
              </w:rPr>
            </w:pPr>
            <w:r w:rsidRPr="00CA13A7">
              <w:rPr>
                <w:sz w:val="20"/>
                <w:szCs w:val="20"/>
                <w:lang w:val="pt-BR"/>
              </w:rPr>
              <w:t>Determina instruções sobre a pesquisa, desenvolvimento, investimento e inovação no setor energético do Brasil.</w:t>
            </w:r>
          </w:p>
        </w:tc>
      </w:tr>
      <w:tr w:rsidR="00DF4FF0" w:rsidRPr="00CA13A7" w14:paraId="2041E84E" w14:textId="77777777">
        <w:trPr>
          <w:trHeight w:val="750"/>
          <w:jc w:val="center"/>
        </w:trPr>
        <w:tc>
          <w:tcPr>
            <w:tcW w:w="2948" w:type="dxa"/>
            <w:tcBorders>
              <w:top w:val="single" w:sz="8" w:space="0" w:color="CCCCCC"/>
              <w:left w:val="single" w:sz="8" w:space="0" w:color="FFFFFF"/>
              <w:bottom w:val="single" w:sz="8" w:space="0" w:color="000000"/>
              <w:right w:val="single" w:sz="8" w:space="0" w:color="000000"/>
            </w:tcBorders>
            <w:tcMar>
              <w:top w:w="40" w:type="dxa"/>
              <w:left w:w="40" w:type="dxa"/>
              <w:bottom w:w="40" w:type="dxa"/>
              <w:right w:w="40" w:type="dxa"/>
            </w:tcMar>
            <w:vAlign w:val="center"/>
          </w:tcPr>
          <w:p w14:paraId="2041E84B" w14:textId="77777777" w:rsidR="00DF4FF0" w:rsidRPr="00CA13A7" w:rsidRDefault="00000000">
            <w:pPr>
              <w:spacing w:before="240" w:after="120"/>
              <w:jc w:val="center"/>
              <w:rPr>
                <w:sz w:val="20"/>
                <w:szCs w:val="20"/>
                <w:lang w:val="pt-BR"/>
              </w:rPr>
            </w:pPr>
            <w:r w:rsidRPr="00CA13A7">
              <w:rPr>
                <w:sz w:val="20"/>
                <w:szCs w:val="20"/>
                <w:lang w:val="pt-BR"/>
              </w:rPr>
              <w:t>Pacto Energético sobre o uso de Hidrogênio Verde</w:t>
            </w:r>
          </w:p>
        </w:tc>
        <w:tc>
          <w:tcPr>
            <w:tcW w:w="2948"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041E84C" w14:textId="77777777" w:rsidR="00DF4FF0" w:rsidRDefault="00000000">
            <w:pPr>
              <w:jc w:val="center"/>
              <w:rPr>
                <w:sz w:val="20"/>
                <w:szCs w:val="20"/>
              </w:rPr>
            </w:pPr>
            <w:r>
              <w:rPr>
                <w:sz w:val="20"/>
                <w:szCs w:val="20"/>
              </w:rPr>
              <w:t xml:space="preserve">23 de </w:t>
            </w:r>
            <w:proofErr w:type="spellStart"/>
            <w:r>
              <w:rPr>
                <w:sz w:val="20"/>
                <w:szCs w:val="20"/>
              </w:rPr>
              <w:t>Fevereiro</w:t>
            </w:r>
            <w:proofErr w:type="spellEnd"/>
            <w:r>
              <w:rPr>
                <w:sz w:val="20"/>
                <w:szCs w:val="20"/>
              </w:rPr>
              <w:t xml:space="preserve"> de 2021</w:t>
            </w:r>
          </w:p>
        </w:tc>
        <w:tc>
          <w:tcPr>
            <w:tcW w:w="2948" w:type="dxa"/>
            <w:tcBorders>
              <w:top w:val="single" w:sz="8" w:space="0" w:color="CCCCCC"/>
              <w:left w:val="single" w:sz="8" w:space="0" w:color="CCCCCC"/>
              <w:bottom w:val="single" w:sz="8" w:space="0" w:color="000000"/>
              <w:right w:val="single" w:sz="8" w:space="0" w:color="FFFFFF"/>
            </w:tcBorders>
            <w:tcMar>
              <w:top w:w="40" w:type="dxa"/>
              <w:left w:w="40" w:type="dxa"/>
              <w:bottom w:w="40" w:type="dxa"/>
              <w:right w:w="40" w:type="dxa"/>
            </w:tcMar>
            <w:vAlign w:val="center"/>
          </w:tcPr>
          <w:p w14:paraId="2041E84D" w14:textId="77777777" w:rsidR="00DF4FF0" w:rsidRPr="00CA13A7" w:rsidRDefault="00000000">
            <w:pPr>
              <w:rPr>
                <w:sz w:val="20"/>
                <w:szCs w:val="20"/>
                <w:lang w:val="pt-BR"/>
              </w:rPr>
            </w:pPr>
            <w:r w:rsidRPr="00CA13A7">
              <w:rPr>
                <w:sz w:val="20"/>
                <w:szCs w:val="20"/>
                <w:lang w:val="pt-BR"/>
              </w:rPr>
              <w:t>Trata de conceitos essenciais e princípios fundamentais para o desenvolvimento da estratégia brasileira de hidrogênio.</w:t>
            </w:r>
          </w:p>
        </w:tc>
      </w:tr>
      <w:tr w:rsidR="00DF4FF0" w:rsidRPr="00CA13A7" w14:paraId="2041E852" w14:textId="77777777">
        <w:trPr>
          <w:trHeight w:val="930"/>
          <w:jc w:val="center"/>
        </w:trPr>
        <w:tc>
          <w:tcPr>
            <w:tcW w:w="2948" w:type="dxa"/>
            <w:tcBorders>
              <w:top w:val="single" w:sz="8" w:space="0" w:color="CCCCCC"/>
              <w:left w:val="single" w:sz="8" w:space="0" w:color="FFFFFF"/>
              <w:bottom w:val="single" w:sz="8" w:space="0" w:color="000000"/>
              <w:right w:val="single" w:sz="8" w:space="0" w:color="000000"/>
            </w:tcBorders>
            <w:tcMar>
              <w:top w:w="40" w:type="dxa"/>
              <w:left w:w="40" w:type="dxa"/>
              <w:bottom w:w="40" w:type="dxa"/>
              <w:right w:w="40" w:type="dxa"/>
            </w:tcMar>
            <w:vAlign w:val="center"/>
          </w:tcPr>
          <w:p w14:paraId="2041E84F" w14:textId="77777777" w:rsidR="00DF4FF0" w:rsidRDefault="00000000">
            <w:pPr>
              <w:spacing w:before="240" w:after="120"/>
              <w:jc w:val="center"/>
              <w:rPr>
                <w:sz w:val="20"/>
                <w:szCs w:val="20"/>
              </w:rPr>
            </w:pPr>
            <w:proofErr w:type="spellStart"/>
            <w:r>
              <w:rPr>
                <w:sz w:val="20"/>
                <w:szCs w:val="20"/>
              </w:rPr>
              <w:t>Resolução</w:t>
            </w:r>
            <w:proofErr w:type="spellEnd"/>
            <w:r>
              <w:rPr>
                <w:sz w:val="20"/>
                <w:szCs w:val="20"/>
              </w:rPr>
              <w:t xml:space="preserve"> nº 06/2021 do CNPE</w:t>
            </w:r>
          </w:p>
        </w:tc>
        <w:tc>
          <w:tcPr>
            <w:tcW w:w="2948"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041E850" w14:textId="77777777" w:rsidR="00DF4FF0" w:rsidRDefault="00000000">
            <w:pPr>
              <w:jc w:val="center"/>
              <w:rPr>
                <w:sz w:val="20"/>
                <w:szCs w:val="20"/>
              </w:rPr>
            </w:pPr>
            <w:r>
              <w:rPr>
                <w:sz w:val="20"/>
                <w:szCs w:val="20"/>
              </w:rPr>
              <w:t>20 de Abril de 2021</w:t>
            </w:r>
          </w:p>
        </w:tc>
        <w:tc>
          <w:tcPr>
            <w:tcW w:w="2948" w:type="dxa"/>
            <w:tcBorders>
              <w:top w:val="single" w:sz="8" w:space="0" w:color="CCCCCC"/>
              <w:left w:val="single" w:sz="8" w:space="0" w:color="CCCCCC"/>
              <w:bottom w:val="single" w:sz="8" w:space="0" w:color="000000"/>
              <w:right w:val="single" w:sz="8" w:space="0" w:color="FFFFFF"/>
            </w:tcBorders>
            <w:tcMar>
              <w:top w:w="40" w:type="dxa"/>
              <w:left w:w="40" w:type="dxa"/>
              <w:bottom w:w="40" w:type="dxa"/>
              <w:right w:w="40" w:type="dxa"/>
            </w:tcMar>
            <w:vAlign w:val="center"/>
          </w:tcPr>
          <w:p w14:paraId="2041E851" w14:textId="77777777" w:rsidR="00DF4FF0" w:rsidRPr="00CA13A7" w:rsidRDefault="00000000">
            <w:pPr>
              <w:rPr>
                <w:sz w:val="20"/>
                <w:szCs w:val="20"/>
                <w:lang w:val="pt-BR"/>
              </w:rPr>
            </w:pPr>
            <w:r w:rsidRPr="00CA13A7">
              <w:rPr>
                <w:sz w:val="20"/>
                <w:szCs w:val="20"/>
                <w:lang w:val="pt-BR"/>
              </w:rPr>
              <w:t>Determina a realização de estudo para proposição de diretrizes para o Programa Nacional do Hidrogênio.</w:t>
            </w:r>
          </w:p>
        </w:tc>
      </w:tr>
      <w:tr w:rsidR="00DF4FF0" w:rsidRPr="00CA13A7" w14:paraId="2041E856" w14:textId="77777777">
        <w:trPr>
          <w:trHeight w:val="1364"/>
          <w:jc w:val="center"/>
        </w:trPr>
        <w:tc>
          <w:tcPr>
            <w:tcW w:w="2948" w:type="dxa"/>
            <w:tcBorders>
              <w:top w:val="single" w:sz="8" w:space="0" w:color="CCCCCC"/>
              <w:left w:val="single" w:sz="8" w:space="0" w:color="FFFFFF"/>
              <w:bottom w:val="single" w:sz="8" w:space="0" w:color="000000"/>
              <w:right w:val="single" w:sz="8" w:space="0" w:color="000000"/>
            </w:tcBorders>
            <w:tcMar>
              <w:top w:w="40" w:type="dxa"/>
              <w:left w:w="40" w:type="dxa"/>
              <w:bottom w:w="40" w:type="dxa"/>
              <w:right w:w="40" w:type="dxa"/>
            </w:tcMar>
            <w:vAlign w:val="center"/>
          </w:tcPr>
          <w:p w14:paraId="2041E853" w14:textId="77777777" w:rsidR="00DF4FF0" w:rsidRPr="00CA13A7" w:rsidRDefault="00000000">
            <w:pPr>
              <w:ind w:firstLine="425"/>
              <w:jc w:val="center"/>
              <w:rPr>
                <w:sz w:val="20"/>
                <w:szCs w:val="20"/>
                <w:lang w:val="pt-BR"/>
              </w:rPr>
            </w:pPr>
            <w:r w:rsidRPr="00CA13A7">
              <w:rPr>
                <w:sz w:val="20"/>
                <w:szCs w:val="20"/>
                <w:lang w:val="pt-BR"/>
              </w:rPr>
              <w:t>Pacto Energético para o Hidrogênio</w:t>
            </w:r>
          </w:p>
        </w:tc>
        <w:tc>
          <w:tcPr>
            <w:tcW w:w="2948"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041E854" w14:textId="77777777" w:rsidR="00DF4FF0" w:rsidRDefault="00000000">
            <w:pPr>
              <w:jc w:val="center"/>
              <w:rPr>
                <w:sz w:val="20"/>
                <w:szCs w:val="20"/>
              </w:rPr>
            </w:pPr>
            <w:r>
              <w:rPr>
                <w:sz w:val="20"/>
                <w:szCs w:val="20"/>
              </w:rPr>
              <w:t>24 de Junho de 2021</w:t>
            </w:r>
          </w:p>
        </w:tc>
        <w:tc>
          <w:tcPr>
            <w:tcW w:w="2948" w:type="dxa"/>
            <w:tcBorders>
              <w:top w:val="single" w:sz="8" w:space="0" w:color="CCCCCC"/>
              <w:left w:val="single" w:sz="8" w:space="0" w:color="CCCCCC"/>
              <w:bottom w:val="single" w:sz="8" w:space="0" w:color="000000"/>
              <w:right w:val="single" w:sz="8" w:space="0" w:color="FFFFFF"/>
            </w:tcBorders>
            <w:tcMar>
              <w:top w:w="40" w:type="dxa"/>
              <w:left w:w="40" w:type="dxa"/>
              <w:bottom w:w="40" w:type="dxa"/>
              <w:right w:w="40" w:type="dxa"/>
            </w:tcMar>
            <w:vAlign w:val="center"/>
          </w:tcPr>
          <w:p w14:paraId="2041E855" w14:textId="77777777" w:rsidR="00DF4FF0" w:rsidRPr="00CA13A7" w:rsidRDefault="00000000">
            <w:pPr>
              <w:rPr>
                <w:sz w:val="20"/>
                <w:szCs w:val="20"/>
                <w:lang w:val="pt-BR"/>
              </w:rPr>
            </w:pPr>
            <w:r w:rsidRPr="00CA13A7">
              <w:rPr>
                <w:sz w:val="20"/>
                <w:szCs w:val="20"/>
                <w:lang w:val="pt-BR"/>
              </w:rPr>
              <w:t>Mostra a participação do Brasil no Fórum Ministerial do Diálogo em Alto Nível das Nações Unidas sobre Energia, apresentando dois pactos energéticos governamentais,  em biocombustíveis e hidrogênio.</w:t>
            </w:r>
          </w:p>
        </w:tc>
      </w:tr>
      <w:tr w:rsidR="00DF4FF0" w:rsidRPr="00CA13A7" w14:paraId="2041E85A" w14:textId="77777777">
        <w:trPr>
          <w:trHeight w:val="750"/>
          <w:jc w:val="center"/>
        </w:trPr>
        <w:tc>
          <w:tcPr>
            <w:tcW w:w="2948" w:type="dxa"/>
            <w:tcBorders>
              <w:top w:val="single" w:sz="8" w:space="0" w:color="CCCCCC"/>
              <w:left w:val="single" w:sz="8" w:space="0" w:color="FFFFFF"/>
              <w:bottom w:val="single" w:sz="8" w:space="0" w:color="000000"/>
              <w:right w:val="single" w:sz="8" w:space="0" w:color="000000"/>
            </w:tcBorders>
            <w:tcMar>
              <w:top w:w="40" w:type="dxa"/>
              <w:left w:w="40" w:type="dxa"/>
              <w:bottom w:w="40" w:type="dxa"/>
              <w:right w:w="40" w:type="dxa"/>
            </w:tcMar>
            <w:vAlign w:val="center"/>
          </w:tcPr>
          <w:p w14:paraId="2041E857" w14:textId="77777777" w:rsidR="00DF4FF0" w:rsidRPr="00CA13A7" w:rsidRDefault="00000000">
            <w:pPr>
              <w:ind w:firstLine="425"/>
              <w:jc w:val="center"/>
              <w:rPr>
                <w:sz w:val="20"/>
                <w:szCs w:val="20"/>
                <w:lang w:val="pt-BR"/>
              </w:rPr>
            </w:pPr>
            <w:r w:rsidRPr="00CA13A7">
              <w:rPr>
                <w:sz w:val="20"/>
                <w:szCs w:val="20"/>
                <w:lang w:val="pt-BR"/>
              </w:rPr>
              <w:t>Plano Nacional do Hidrogênio - PNH2</w:t>
            </w:r>
          </w:p>
        </w:tc>
        <w:tc>
          <w:tcPr>
            <w:tcW w:w="2948"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041E858" w14:textId="77777777" w:rsidR="00DF4FF0" w:rsidRDefault="00000000">
            <w:pPr>
              <w:jc w:val="center"/>
              <w:rPr>
                <w:sz w:val="20"/>
                <w:szCs w:val="20"/>
              </w:rPr>
            </w:pPr>
            <w:r w:rsidRPr="00CA13A7">
              <w:rPr>
                <w:sz w:val="20"/>
                <w:szCs w:val="20"/>
                <w:lang w:val="pt-BR"/>
              </w:rPr>
              <w:t xml:space="preserve"> </w:t>
            </w:r>
            <w:r>
              <w:rPr>
                <w:sz w:val="20"/>
                <w:szCs w:val="20"/>
              </w:rPr>
              <w:t xml:space="preserve">31 de </w:t>
            </w:r>
            <w:proofErr w:type="spellStart"/>
            <w:r>
              <w:rPr>
                <w:sz w:val="20"/>
                <w:szCs w:val="20"/>
              </w:rPr>
              <w:t>Julho</w:t>
            </w:r>
            <w:proofErr w:type="spellEnd"/>
            <w:r>
              <w:rPr>
                <w:sz w:val="20"/>
                <w:szCs w:val="20"/>
              </w:rPr>
              <w:t xml:space="preserve"> de 2021</w:t>
            </w:r>
          </w:p>
        </w:tc>
        <w:tc>
          <w:tcPr>
            <w:tcW w:w="2948" w:type="dxa"/>
            <w:tcBorders>
              <w:top w:val="single" w:sz="8" w:space="0" w:color="CCCCCC"/>
              <w:left w:val="single" w:sz="8" w:space="0" w:color="CCCCCC"/>
              <w:bottom w:val="single" w:sz="8" w:space="0" w:color="000000"/>
              <w:right w:val="single" w:sz="8" w:space="0" w:color="FFFFFF"/>
            </w:tcBorders>
            <w:tcMar>
              <w:top w:w="40" w:type="dxa"/>
              <w:left w:w="40" w:type="dxa"/>
              <w:bottom w:w="40" w:type="dxa"/>
              <w:right w:w="40" w:type="dxa"/>
            </w:tcMar>
            <w:vAlign w:val="center"/>
          </w:tcPr>
          <w:p w14:paraId="2041E859" w14:textId="77777777" w:rsidR="00DF4FF0" w:rsidRPr="00CA13A7" w:rsidRDefault="00000000">
            <w:pPr>
              <w:rPr>
                <w:sz w:val="20"/>
                <w:szCs w:val="20"/>
                <w:lang w:val="pt-BR"/>
              </w:rPr>
            </w:pPr>
            <w:r w:rsidRPr="00CA13A7">
              <w:rPr>
                <w:sz w:val="20"/>
                <w:szCs w:val="20"/>
                <w:lang w:val="pt-BR"/>
              </w:rPr>
              <w:t>Delineia eixos que guiarão as ações do programa para potencializar as capacidades do país no desenvolvimento e na utilização do hidrogênio, alinhando-se às tendências globais de transição energética.</w:t>
            </w:r>
          </w:p>
        </w:tc>
      </w:tr>
      <w:tr w:rsidR="00DF4FF0" w:rsidRPr="00CA13A7" w14:paraId="2041E85E" w14:textId="77777777">
        <w:trPr>
          <w:trHeight w:val="750"/>
          <w:jc w:val="center"/>
        </w:trPr>
        <w:tc>
          <w:tcPr>
            <w:tcW w:w="2948" w:type="dxa"/>
            <w:tcBorders>
              <w:top w:val="single" w:sz="8" w:space="0" w:color="CCCCCC"/>
              <w:left w:val="single" w:sz="8" w:space="0" w:color="FFFFFF"/>
              <w:bottom w:val="single" w:sz="8" w:space="0" w:color="000000"/>
              <w:right w:val="single" w:sz="8" w:space="0" w:color="000000"/>
            </w:tcBorders>
            <w:tcMar>
              <w:top w:w="40" w:type="dxa"/>
              <w:left w:w="40" w:type="dxa"/>
              <w:bottom w:w="40" w:type="dxa"/>
              <w:right w:w="40" w:type="dxa"/>
            </w:tcMar>
            <w:vAlign w:val="center"/>
          </w:tcPr>
          <w:p w14:paraId="2041E85B" w14:textId="77777777" w:rsidR="00DF4FF0" w:rsidRDefault="00000000">
            <w:pPr>
              <w:ind w:firstLine="425"/>
              <w:jc w:val="center"/>
              <w:rPr>
                <w:sz w:val="20"/>
                <w:szCs w:val="20"/>
              </w:rPr>
            </w:pPr>
            <w:proofErr w:type="spellStart"/>
            <w:r>
              <w:rPr>
                <w:sz w:val="20"/>
                <w:szCs w:val="20"/>
              </w:rPr>
              <w:t>Projeto</w:t>
            </w:r>
            <w:proofErr w:type="spellEnd"/>
            <w:r>
              <w:rPr>
                <w:sz w:val="20"/>
                <w:szCs w:val="20"/>
              </w:rPr>
              <w:t xml:space="preserve"> de Lei n° 725/2022</w:t>
            </w:r>
          </w:p>
        </w:tc>
        <w:tc>
          <w:tcPr>
            <w:tcW w:w="2948"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041E85C" w14:textId="77777777" w:rsidR="00DF4FF0" w:rsidRDefault="00000000">
            <w:pPr>
              <w:ind w:firstLine="9"/>
              <w:jc w:val="center"/>
              <w:rPr>
                <w:sz w:val="20"/>
                <w:szCs w:val="20"/>
              </w:rPr>
            </w:pPr>
            <w:r>
              <w:rPr>
                <w:sz w:val="20"/>
                <w:szCs w:val="20"/>
              </w:rPr>
              <w:t xml:space="preserve">28 de </w:t>
            </w:r>
            <w:proofErr w:type="spellStart"/>
            <w:r>
              <w:rPr>
                <w:sz w:val="20"/>
                <w:szCs w:val="20"/>
              </w:rPr>
              <w:t>Março</w:t>
            </w:r>
            <w:proofErr w:type="spellEnd"/>
            <w:r>
              <w:rPr>
                <w:sz w:val="20"/>
                <w:szCs w:val="20"/>
              </w:rPr>
              <w:t xml:space="preserve"> de 2022</w:t>
            </w:r>
          </w:p>
        </w:tc>
        <w:tc>
          <w:tcPr>
            <w:tcW w:w="2948" w:type="dxa"/>
            <w:tcBorders>
              <w:top w:val="single" w:sz="8" w:space="0" w:color="CCCCCC"/>
              <w:left w:val="single" w:sz="8" w:space="0" w:color="CCCCCC"/>
              <w:bottom w:val="single" w:sz="8" w:space="0" w:color="000000"/>
              <w:right w:val="single" w:sz="8" w:space="0" w:color="FFFFFF"/>
            </w:tcBorders>
            <w:tcMar>
              <w:top w:w="40" w:type="dxa"/>
              <w:left w:w="40" w:type="dxa"/>
              <w:bottom w:w="40" w:type="dxa"/>
              <w:right w:w="40" w:type="dxa"/>
            </w:tcMar>
            <w:vAlign w:val="center"/>
          </w:tcPr>
          <w:p w14:paraId="2041E85D" w14:textId="77777777" w:rsidR="00DF4FF0" w:rsidRPr="00CA13A7" w:rsidRDefault="00000000">
            <w:pPr>
              <w:rPr>
                <w:sz w:val="20"/>
                <w:szCs w:val="20"/>
                <w:lang w:val="pt-BR"/>
              </w:rPr>
            </w:pPr>
            <w:r w:rsidRPr="00CA13A7">
              <w:rPr>
                <w:sz w:val="20"/>
                <w:szCs w:val="20"/>
                <w:lang w:val="pt-BR"/>
              </w:rPr>
              <w:t>Propõe mudanças necessárias em determinadas leis para a inserção do hidrogênio como um componente central no setor energético brasileiro.</w:t>
            </w:r>
          </w:p>
        </w:tc>
      </w:tr>
      <w:tr w:rsidR="00DF4FF0" w:rsidRPr="00CA13A7" w14:paraId="2041E862" w14:textId="77777777">
        <w:trPr>
          <w:trHeight w:val="750"/>
          <w:jc w:val="center"/>
        </w:trPr>
        <w:tc>
          <w:tcPr>
            <w:tcW w:w="2948" w:type="dxa"/>
            <w:tcBorders>
              <w:top w:val="single" w:sz="8" w:space="0" w:color="CCCCCC"/>
              <w:left w:val="single" w:sz="8" w:space="0" w:color="FFFFFF"/>
              <w:bottom w:val="single" w:sz="8" w:space="0" w:color="000000"/>
              <w:right w:val="single" w:sz="8" w:space="0" w:color="000000"/>
            </w:tcBorders>
            <w:tcMar>
              <w:top w:w="40" w:type="dxa"/>
              <w:left w:w="40" w:type="dxa"/>
              <w:bottom w:w="40" w:type="dxa"/>
              <w:right w:w="40" w:type="dxa"/>
            </w:tcMar>
            <w:vAlign w:val="center"/>
          </w:tcPr>
          <w:p w14:paraId="2041E85F" w14:textId="77777777" w:rsidR="00DF4FF0" w:rsidRDefault="00000000">
            <w:pPr>
              <w:ind w:firstLine="425"/>
              <w:jc w:val="center"/>
              <w:rPr>
                <w:sz w:val="20"/>
                <w:szCs w:val="20"/>
              </w:rPr>
            </w:pPr>
            <w:proofErr w:type="spellStart"/>
            <w:r>
              <w:rPr>
                <w:sz w:val="20"/>
                <w:szCs w:val="20"/>
              </w:rPr>
              <w:t>Resolução</w:t>
            </w:r>
            <w:proofErr w:type="spellEnd"/>
            <w:r>
              <w:rPr>
                <w:sz w:val="20"/>
                <w:szCs w:val="20"/>
              </w:rPr>
              <w:t xml:space="preserve"> n°06/2022 do CNPE</w:t>
            </w:r>
          </w:p>
        </w:tc>
        <w:tc>
          <w:tcPr>
            <w:tcW w:w="2948"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041E860" w14:textId="77777777" w:rsidR="00DF4FF0" w:rsidRDefault="00000000">
            <w:pPr>
              <w:ind w:firstLine="9"/>
              <w:jc w:val="center"/>
              <w:rPr>
                <w:sz w:val="20"/>
                <w:szCs w:val="20"/>
              </w:rPr>
            </w:pPr>
            <w:r>
              <w:rPr>
                <w:sz w:val="20"/>
                <w:szCs w:val="20"/>
              </w:rPr>
              <w:t>23 de Junho de 2022</w:t>
            </w:r>
          </w:p>
        </w:tc>
        <w:tc>
          <w:tcPr>
            <w:tcW w:w="2948" w:type="dxa"/>
            <w:tcBorders>
              <w:top w:val="single" w:sz="8" w:space="0" w:color="CCCCCC"/>
              <w:left w:val="single" w:sz="8" w:space="0" w:color="CCCCCC"/>
              <w:bottom w:val="single" w:sz="8" w:space="0" w:color="000000"/>
              <w:right w:val="single" w:sz="8" w:space="0" w:color="FFFFFF"/>
            </w:tcBorders>
            <w:tcMar>
              <w:top w:w="40" w:type="dxa"/>
              <w:left w:w="40" w:type="dxa"/>
              <w:bottom w:w="40" w:type="dxa"/>
              <w:right w:w="40" w:type="dxa"/>
            </w:tcMar>
            <w:vAlign w:val="center"/>
          </w:tcPr>
          <w:p w14:paraId="2041E861" w14:textId="77777777" w:rsidR="00DF4FF0" w:rsidRPr="00CA13A7" w:rsidRDefault="00000000">
            <w:pPr>
              <w:rPr>
                <w:sz w:val="20"/>
                <w:szCs w:val="20"/>
                <w:lang w:val="pt-BR"/>
              </w:rPr>
            </w:pPr>
            <w:r w:rsidRPr="00CA13A7">
              <w:rPr>
                <w:sz w:val="20"/>
                <w:szCs w:val="20"/>
                <w:lang w:val="pt-BR"/>
              </w:rPr>
              <w:t>Define de forma objetiva os eixos estratégicos do PNH2 e inclui uma diretriz para a certificação do hidrogênio com base em critérios ambientais, garantindo que o Brasil esteja alinhado às exigências internacionais.</w:t>
            </w:r>
          </w:p>
        </w:tc>
      </w:tr>
      <w:tr w:rsidR="00DF4FF0" w:rsidRPr="00CA13A7" w14:paraId="2041E866" w14:textId="77777777">
        <w:trPr>
          <w:trHeight w:val="750"/>
          <w:jc w:val="center"/>
        </w:trPr>
        <w:tc>
          <w:tcPr>
            <w:tcW w:w="2948" w:type="dxa"/>
            <w:tcBorders>
              <w:top w:val="single" w:sz="8" w:space="0" w:color="CCCCCC"/>
              <w:left w:val="single" w:sz="8" w:space="0" w:color="FFFFFF"/>
              <w:bottom w:val="single" w:sz="8" w:space="0" w:color="000000"/>
              <w:right w:val="single" w:sz="8" w:space="0" w:color="000000"/>
            </w:tcBorders>
            <w:tcMar>
              <w:top w:w="40" w:type="dxa"/>
              <w:left w:w="40" w:type="dxa"/>
              <w:bottom w:w="40" w:type="dxa"/>
              <w:right w:w="40" w:type="dxa"/>
            </w:tcMar>
            <w:vAlign w:val="center"/>
          </w:tcPr>
          <w:p w14:paraId="2041E863" w14:textId="77777777" w:rsidR="00DF4FF0" w:rsidRDefault="00000000">
            <w:pPr>
              <w:ind w:firstLine="425"/>
              <w:jc w:val="center"/>
              <w:rPr>
                <w:sz w:val="20"/>
                <w:szCs w:val="20"/>
              </w:rPr>
            </w:pPr>
            <w:proofErr w:type="spellStart"/>
            <w:r>
              <w:rPr>
                <w:sz w:val="20"/>
                <w:szCs w:val="20"/>
              </w:rPr>
              <w:t>Resolução</w:t>
            </w:r>
            <w:proofErr w:type="spellEnd"/>
            <w:r>
              <w:rPr>
                <w:sz w:val="20"/>
                <w:szCs w:val="20"/>
              </w:rPr>
              <w:t xml:space="preserve"> n°04/2023 do CNPE</w:t>
            </w:r>
          </w:p>
        </w:tc>
        <w:tc>
          <w:tcPr>
            <w:tcW w:w="2948"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041E864" w14:textId="77777777" w:rsidR="00DF4FF0" w:rsidRDefault="00000000">
            <w:pPr>
              <w:ind w:firstLine="9"/>
              <w:jc w:val="center"/>
              <w:rPr>
                <w:sz w:val="20"/>
                <w:szCs w:val="20"/>
              </w:rPr>
            </w:pPr>
            <w:r>
              <w:rPr>
                <w:sz w:val="20"/>
                <w:szCs w:val="20"/>
              </w:rPr>
              <w:t xml:space="preserve">20 de </w:t>
            </w:r>
            <w:proofErr w:type="spellStart"/>
            <w:r>
              <w:rPr>
                <w:sz w:val="20"/>
                <w:szCs w:val="20"/>
              </w:rPr>
              <w:t>Março</w:t>
            </w:r>
            <w:proofErr w:type="spellEnd"/>
            <w:r>
              <w:rPr>
                <w:sz w:val="20"/>
                <w:szCs w:val="20"/>
              </w:rPr>
              <w:t xml:space="preserve"> de 2023</w:t>
            </w:r>
          </w:p>
        </w:tc>
        <w:tc>
          <w:tcPr>
            <w:tcW w:w="2948" w:type="dxa"/>
            <w:tcBorders>
              <w:top w:val="single" w:sz="8" w:space="0" w:color="CCCCCC"/>
              <w:left w:val="single" w:sz="8" w:space="0" w:color="CCCCCC"/>
              <w:bottom w:val="single" w:sz="8" w:space="0" w:color="000000"/>
              <w:right w:val="single" w:sz="8" w:space="0" w:color="FFFFFF"/>
            </w:tcBorders>
            <w:tcMar>
              <w:top w:w="40" w:type="dxa"/>
              <w:left w:w="40" w:type="dxa"/>
              <w:bottom w:w="40" w:type="dxa"/>
              <w:right w:w="40" w:type="dxa"/>
            </w:tcMar>
            <w:vAlign w:val="center"/>
          </w:tcPr>
          <w:p w14:paraId="2041E865" w14:textId="77777777" w:rsidR="00DF4FF0" w:rsidRPr="00CA13A7" w:rsidRDefault="00000000">
            <w:pPr>
              <w:rPr>
                <w:sz w:val="20"/>
                <w:szCs w:val="20"/>
                <w:lang w:val="pt-BR"/>
              </w:rPr>
            </w:pPr>
            <w:r w:rsidRPr="00CA13A7">
              <w:rPr>
                <w:sz w:val="20"/>
                <w:szCs w:val="20"/>
                <w:lang w:val="pt-BR"/>
              </w:rPr>
              <w:t>Altera a Resolução CNPE nº 6, que institui o Programa Nacional do Hidrogênio, cria o Comitê Gestor do Programa Nacional do Hidrogênio e dá outras providências.</w:t>
            </w:r>
          </w:p>
        </w:tc>
      </w:tr>
      <w:tr w:rsidR="00DF4FF0" w:rsidRPr="00CA13A7" w14:paraId="2041E86A" w14:textId="77777777">
        <w:trPr>
          <w:trHeight w:val="750"/>
          <w:jc w:val="center"/>
        </w:trPr>
        <w:tc>
          <w:tcPr>
            <w:tcW w:w="2948" w:type="dxa"/>
            <w:tcBorders>
              <w:top w:val="single" w:sz="8" w:space="0" w:color="CCCCCC"/>
              <w:left w:val="single" w:sz="8" w:space="0" w:color="FFFFFF"/>
              <w:bottom w:val="single" w:sz="8" w:space="0" w:color="000000"/>
              <w:right w:val="single" w:sz="8" w:space="0" w:color="000000"/>
            </w:tcBorders>
            <w:tcMar>
              <w:top w:w="40" w:type="dxa"/>
              <w:left w:w="40" w:type="dxa"/>
              <w:bottom w:w="40" w:type="dxa"/>
              <w:right w:w="40" w:type="dxa"/>
            </w:tcMar>
            <w:vAlign w:val="center"/>
          </w:tcPr>
          <w:p w14:paraId="2041E867" w14:textId="77777777" w:rsidR="00DF4FF0" w:rsidRPr="00CA13A7" w:rsidRDefault="00000000">
            <w:pPr>
              <w:ind w:firstLine="425"/>
              <w:jc w:val="center"/>
              <w:rPr>
                <w:sz w:val="20"/>
                <w:szCs w:val="20"/>
                <w:lang w:val="pt-BR"/>
              </w:rPr>
            </w:pPr>
            <w:r w:rsidRPr="00CA13A7">
              <w:rPr>
                <w:sz w:val="20"/>
                <w:szCs w:val="20"/>
                <w:lang w:val="pt-BR"/>
              </w:rPr>
              <w:t>Plano de Trabalho Trienal - PNH2</w:t>
            </w:r>
          </w:p>
        </w:tc>
        <w:tc>
          <w:tcPr>
            <w:tcW w:w="2948"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041E868" w14:textId="77777777" w:rsidR="00DF4FF0" w:rsidRDefault="00000000">
            <w:pPr>
              <w:ind w:firstLine="9"/>
              <w:jc w:val="center"/>
              <w:rPr>
                <w:sz w:val="20"/>
                <w:szCs w:val="20"/>
              </w:rPr>
            </w:pPr>
            <w:r>
              <w:rPr>
                <w:sz w:val="20"/>
                <w:szCs w:val="20"/>
              </w:rPr>
              <w:t>23 de Agosto de 2023</w:t>
            </w:r>
          </w:p>
        </w:tc>
        <w:tc>
          <w:tcPr>
            <w:tcW w:w="2948" w:type="dxa"/>
            <w:tcBorders>
              <w:top w:val="single" w:sz="8" w:space="0" w:color="CCCCCC"/>
              <w:left w:val="single" w:sz="8" w:space="0" w:color="CCCCCC"/>
              <w:bottom w:val="single" w:sz="8" w:space="0" w:color="000000"/>
              <w:right w:val="single" w:sz="8" w:space="0" w:color="FFFFFF"/>
            </w:tcBorders>
            <w:tcMar>
              <w:top w:w="40" w:type="dxa"/>
              <w:left w:w="40" w:type="dxa"/>
              <w:bottom w:w="40" w:type="dxa"/>
              <w:right w:w="40" w:type="dxa"/>
            </w:tcMar>
            <w:vAlign w:val="center"/>
          </w:tcPr>
          <w:p w14:paraId="2041E869" w14:textId="77777777" w:rsidR="00DF4FF0" w:rsidRPr="00CA13A7" w:rsidRDefault="00000000">
            <w:pPr>
              <w:rPr>
                <w:sz w:val="20"/>
                <w:szCs w:val="20"/>
                <w:lang w:val="pt-BR"/>
              </w:rPr>
            </w:pPr>
            <w:r w:rsidRPr="00CA13A7">
              <w:rPr>
                <w:sz w:val="20"/>
                <w:szCs w:val="20"/>
                <w:lang w:val="pt-BR"/>
              </w:rPr>
              <w:t>Programa Nacional do Hidrogênio com objetivo de impulsionar o potencial do Brasil para com o Hidrogênio, com foco em Pesquisa, Desenvolvimento e Inovação no desenvolvimento de tecnologias.</w:t>
            </w:r>
          </w:p>
        </w:tc>
      </w:tr>
      <w:tr w:rsidR="00DF4FF0" w:rsidRPr="00CA13A7" w14:paraId="2041E86E" w14:textId="77777777">
        <w:trPr>
          <w:trHeight w:val="750"/>
          <w:jc w:val="center"/>
        </w:trPr>
        <w:tc>
          <w:tcPr>
            <w:tcW w:w="2948" w:type="dxa"/>
            <w:tcBorders>
              <w:top w:val="single" w:sz="8" w:space="0" w:color="CCCCCC"/>
              <w:left w:val="single" w:sz="8" w:space="0" w:color="FFFFFF"/>
              <w:bottom w:val="single" w:sz="8" w:space="0" w:color="000000"/>
              <w:right w:val="single" w:sz="8" w:space="0" w:color="000000"/>
            </w:tcBorders>
            <w:tcMar>
              <w:top w:w="40" w:type="dxa"/>
              <w:left w:w="40" w:type="dxa"/>
              <w:bottom w:w="40" w:type="dxa"/>
              <w:right w:w="40" w:type="dxa"/>
            </w:tcMar>
            <w:vAlign w:val="center"/>
          </w:tcPr>
          <w:p w14:paraId="2041E86B" w14:textId="77777777" w:rsidR="00DF4FF0" w:rsidRDefault="00000000">
            <w:pPr>
              <w:ind w:firstLine="425"/>
              <w:jc w:val="center"/>
              <w:rPr>
                <w:sz w:val="20"/>
                <w:szCs w:val="20"/>
              </w:rPr>
            </w:pPr>
            <w:proofErr w:type="spellStart"/>
            <w:r>
              <w:rPr>
                <w:sz w:val="20"/>
                <w:szCs w:val="20"/>
              </w:rPr>
              <w:t>Projeto</w:t>
            </w:r>
            <w:proofErr w:type="spellEnd"/>
            <w:r>
              <w:rPr>
                <w:sz w:val="20"/>
                <w:szCs w:val="20"/>
              </w:rPr>
              <w:t xml:space="preserve"> de Lei n° 2308/2023</w:t>
            </w:r>
          </w:p>
        </w:tc>
        <w:tc>
          <w:tcPr>
            <w:tcW w:w="2948"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041E86C" w14:textId="77777777" w:rsidR="00DF4FF0" w:rsidRDefault="00000000">
            <w:pPr>
              <w:ind w:firstLine="9"/>
              <w:jc w:val="center"/>
              <w:rPr>
                <w:sz w:val="20"/>
                <w:szCs w:val="20"/>
              </w:rPr>
            </w:pPr>
            <w:r>
              <w:rPr>
                <w:sz w:val="20"/>
                <w:szCs w:val="20"/>
              </w:rPr>
              <w:t>3 de Maio de 2023</w:t>
            </w:r>
          </w:p>
        </w:tc>
        <w:tc>
          <w:tcPr>
            <w:tcW w:w="2948" w:type="dxa"/>
            <w:tcBorders>
              <w:top w:val="single" w:sz="8" w:space="0" w:color="CCCCCC"/>
              <w:left w:val="single" w:sz="8" w:space="0" w:color="CCCCCC"/>
              <w:bottom w:val="single" w:sz="8" w:space="0" w:color="000000"/>
              <w:right w:val="single" w:sz="8" w:space="0" w:color="FFFFFF"/>
            </w:tcBorders>
            <w:tcMar>
              <w:top w:w="40" w:type="dxa"/>
              <w:left w:w="40" w:type="dxa"/>
              <w:bottom w:w="40" w:type="dxa"/>
              <w:right w:w="40" w:type="dxa"/>
            </w:tcMar>
            <w:vAlign w:val="center"/>
          </w:tcPr>
          <w:p w14:paraId="2041E86D" w14:textId="77777777" w:rsidR="00DF4FF0" w:rsidRPr="00CA13A7" w:rsidRDefault="00000000">
            <w:pPr>
              <w:rPr>
                <w:sz w:val="20"/>
                <w:szCs w:val="20"/>
                <w:lang w:val="pt-BR"/>
              </w:rPr>
            </w:pPr>
            <w:r w:rsidRPr="00CA13A7">
              <w:rPr>
                <w:sz w:val="20"/>
                <w:szCs w:val="20"/>
                <w:lang w:val="pt-BR"/>
              </w:rPr>
              <w:t>Institui o marco legal para o hidrogênio de baixa emissão de carbono, incentivando o uso de fontes renováveis para produção de combustível no Brasil</w:t>
            </w:r>
          </w:p>
        </w:tc>
      </w:tr>
      <w:tr w:rsidR="00DF4FF0" w:rsidRPr="00CA13A7" w14:paraId="2041E872" w14:textId="77777777">
        <w:trPr>
          <w:trHeight w:val="750"/>
          <w:jc w:val="center"/>
        </w:trPr>
        <w:tc>
          <w:tcPr>
            <w:tcW w:w="2948" w:type="dxa"/>
            <w:tcBorders>
              <w:top w:val="single" w:sz="8" w:space="0" w:color="CCCCCC"/>
              <w:left w:val="single" w:sz="8" w:space="0" w:color="FFFFFF"/>
              <w:bottom w:val="single" w:sz="8" w:space="0" w:color="000000"/>
              <w:right w:val="single" w:sz="8" w:space="0" w:color="000000"/>
            </w:tcBorders>
            <w:tcMar>
              <w:top w:w="40" w:type="dxa"/>
              <w:left w:w="40" w:type="dxa"/>
              <w:bottom w:w="40" w:type="dxa"/>
              <w:right w:w="40" w:type="dxa"/>
            </w:tcMar>
            <w:vAlign w:val="center"/>
          </w:tcPr>
          <w:p w14:paraId="2041E86F" w14:textId="77777777" w:rsidR="00DF4FF0" w:rsidRDefault="00000000">
            <w:pPr>
              <w:spacing w:before="240" w:after="120"/>
              <w:jc w:val="center"/>
              <w:rPr>
                <w:sz w:val="20"/>
                <w:szCs w:val="20"/>
              </w:rPr>
            </w:pPr>
            <w:r w:rsidRPr="00CA13A7">
              <w:rPr>
                <w:sz w:val="20"/>
                <w:szCs w:val="20"/>
                <w:lang w:val="pt-BR"/>
              </w:rPr>
              <w:t xml:space="preserve"> </w:t>
            </w:r>
            <w:r>
              <w:rPr>
                <w:sz w:val="20"/>
                <w:szCs w:val="20"/>
              </w:rPr>
              <w:t xml:space="preserve">Lei </w:t>
            </w:r>
            <w:proofErr w:type="gramStart"/>
            <w:r>
              <w:rPr>
                <w:sz w:val="20"/>
                <w:szCs w:val="20"/>
              </w:rPr>
              <w:t>nº</w:t>
            </w:r>
            <w:proofErr w:type="gramEnd"/>
            <w:r>
              <w:rPr>
                <w:sz w:val="20"/>
                <w:szCs w:val="20"/>
              </w:rPr>
              <w:t xml:space="preserve"> 14.948/2024</w:t>
            </w:r>
          </w:p>
        </w:tc>
        <w:tc>
          <w:tcPr>
            <w:tcW w:w="2948"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041E870" w14:textId="77777777" w:rsidR="00DF4FF0" w:rsidRDefault="00000000">
            <w:pPr>
              <w:ind w:firstLine="9"/>
              <w:jc w:val="center"/>
              <w:rPr>
                <w:sz w:val="20"/>
                <w:szCs w:val="20"/>
              </w:rPr>
            </w:pPr>
            <w:r>
              <w:rPr>
                <w:sz w:val="20"/>
                <w:szCs w:val="20"/>
              </w:rPr>
              <w:t>2 de Agosto de 2024</w:t>
            </w:r>
          </w:p>
        </w:tc>
        <w:tc>
          <w:tcPr>
            <w:tcW w:w="2948" w:type="dxa"/>
            <w:tcBorders>
              <w:top w:val="single" w:sz="8" w:space="0" w:color="CCCCCC"/>
              <w:left w:val="single" w:sz="8" w:space="0" w:color="CCCCCC"/>
              <w:bottom w:val="single" w:sz="8" w:space="0" w:color="000000"/>
              <w:right w:val="single" w:sz="8" w:space="0" w:color="FFFFFF"/>
            </w:tcBorders>
            <w:tcMar>
              <w:top w:w="40" w:type="dxa"/>
              <w:left w:w="40" w:type="dxa"/>
              <w:bottom w:w="40" w:type="dxa"/>
              <w:right w:w="40" w:type="dxa"/>
            </w:tcMar>
            <w:vAlign w:val="center"/>
          </w:tcPr>
          <w:p w14:paraId="2041E871" w14:textId="77777777" w:rsidR="00DF4FF0" w:rsidRPr="00CA13A7" w:rsidRDefault="00000000">
            <w:pPr>
              <w:rPr>
                <w:sz w:val="20"/>
                <w:szCs w:val="20"/>
                <w:lang w:val="pt-BR"/>
              </w:rPr>
            </w:pPr>
            <w:r w:rsidRPr="00CA13A7">
              <w:rPr>
                <w:sz w:val="20"/>
                <w:szCs w:val="20"/>
                <w:lang w:val="pt-BR"/>
              </w:rPr>
              <w:t>Institui o marco legal do hidrogênio de baixa emissão de carbono; dispõe sobre a Política Nacional do Hidrogênio de Baixa Emissão de Carbono; institui incentivos para a indústria do hidrogênio de baixa emissão de carbono; institui o Regime Especial de Incentivos para a Produção de Hidrogênio de Baixa Emissão de Carbono (</w:t>
            </w:r>
            <w:proofErr w:type="spellStart"/>
            <w:r w:rsidRPr="00CA13A7">
              <w:rPr>
                <w:sz w:val="20"/>
                <w:szCs w:val="20"/>
                <w:lang w:val="pt-BR"/>
              </w:rPr>
              <w:t>Rehidro</w:t>
            </w:r>
            <w:proofErr w:type="spellEnd"/>
            <w:r w:rsidRPr="00CA13A7">
              <w:rPr>
                <w:sz w:val="20"/>
                <w:szCs w:val="20"/>
                <w:lang w:val="pt-BR"/>
              </w:rPr>
              <w:t xml:space="preserve">); cria o Programa de Desenvolvimento do Hidrogênio de Baixa Emissão de Carbono (PHBC); e altera as Leis </w:t>
            </w:r>
            <w:proofErr w:type="spellStart"/>
            <w:r w:rsidRPr="00CA13A7">
              <w:rPr>
                <w:sz w:val="20"/>
                <w:szCs w:val="20"/>
                <w:lang w:val="pt-BR"/>
              </w:rPr>
              <w:t>nºs</w:t>
            </w:r>
            <w:proofErr w:type="spellEnd"/>
            <w:r w:rsidRPr="00CA13A7">
              <w:rPr>
                <w:sz w:val="20"/>
                <w:szCs w:val="20"/>
                <w:lang w:val="pt-BR"/>
              </w:rPr>
              <w:t xml:space="preserve"> 9.427, de 26 de dezembro de 1996, e 9.478, de 6 de agosto de 1997.</w:t>
            </w:r>
          </w:p>
        </w:tc>
      </w:tr>
    </w:tbl>
    <w:p w14:paraId="2041E873" w14:textId="77777777" w:rsidR="00DF4FF0" w:rsidRPr="00CA13A7" w:rsidRDefault="00000000">
      <w:pPr>
        <w:spacing w:after="240"/>
        <w:jc w:val="center"/>
        <w:rPr>
          <w:sz w:val="20"/>
          <w:szCs w:val="20"/>
          <w:lang w:val="pt-BR"/>
        </w:rPr>
      </w:pPr>
      <w:r w:rsidRPr="00CA13A7">
        <w:rPr>
          <w:sz w:val="18"/>
          <w:szCs w:val="18"/>
          <w:lang w:val="pt-BR"/>
        </w:rPr>
        <w:t>Fonte: Adaptado dos instrumentos regulatórios mencionados nas subseções de 3.1 até 3.5.</w:t>
      </w:r>
    </w:p>
    <w:p w14:paraId="2041E874" w14:textId="77777777" w:rsidR="00DF4FF0" w:rsidRPr="00CA13A7" w:rsidRDefault="00000000">
      <w:pPr>
        <w:pBdr>
          <w:top w:val="nil"/>
          <w:left w:val="nil"/>
          <w:bottom w:val="nil"/>
          <w:right w:val="nil"/>
          <w:between w:val="nil"/>
        </w:pBdr>
        <w:spacing w:before="240" w:after="120"/>
        <w:jc w:val="center"/>
        <w:rPr>
          <w:smallCaps/>
          <w:color w:val="000000"/>
          <w:sz w:val="20"/>
          <w:szCs w:val="20"/>
          <w:lang w:val="pt-BR"/>
        </w:rPr>
      </w:pPr>
      <w:r w:rsidRPr="00CA13A7">
        <w:rPr>
          <w:smallCaps/>
          <w:color w:val="000000"/>
          <w:sz w:val="20"/>
          <w:szCs w:val="20"/>
          <w:lang w:val="pt-BR"/>
        </w:rPr>
        <w:t>4. Conclusão</w:t>
      </w:r>
    </w:p>
    <w:p w14:paraId="2041E875" w14:textId="77777777" w:rsidR="00DF4FF0" w:rsidRPr="00CA13A7" w:rsidRDefault="00000000">
      <w:pPr>
        <w:pBdr>
          <w:top w:val="nil"/>
          <w:left w:val="nil"/>
          <w:bottom w:val="nil"/>
          <w:right w:val="nil"/>
          <w:between w:val="nil"/>
        </w:pBdr>
        <w:ind w:firstLine="425"/>
        <w:rPr>
          <w:sz w:val="20"/>
          <w:szCs w:val="20"/>
          <w:lang w:val="pt-BR"/>
        </w:rPr>
      </w:pPr>
      <w:r w:rsidRPr="00CA13A7">
        <w:rPr>
          <w:sz w:val="20"/>
          <w:szCs w:val="20"/>
          <w:lang w:val="pt-BR"/>
        </w:rPr>
        <w:t>O presente estudo realizou uma análise abrangente sobre o arcabouço regulatório do hidrogênio no Brasil, com foco nas iniciativas relacionadas ao hidrogênio verde. Por meio de uma revisão bibliográfica e da sistematização das informações em diferentes etapas, foi possível observar avanços significativos nos últimos anos, principalmente com a elaboração de planos estratégicos, resoluções e projetos de lei que visam consolidar o hidrogênio como um componente essencial na transição energética do país.</w:t>
      </w:r>
    </w:p>
    <w:p w14:paraId="2041E876" w14:textId="77777777" w:rsidR="00DF4FF0" w:rsidRPr="00CA13A7" w:rsidRDefault="00000000">
      <w:pPr>
        <w:pBdr>
          <w:top w:val="nil"/>
          <w:left w:val="nil"/>
          <w:bottom w:val="nil"/>
          <w:right w:val="nil"/>
          <w:between w:val="nil"/>
        </w:pBdr>
        <w:ind w:firstLine="425"/>
        <w:rPr>
          <w:sz w:val="20"/>
          <w:szCs w:val="20"/>
          <w:lang w:val="pt-BR"/>
        </w:rPr>
      </w:pPr>
      <w:r w:rsidRPr="00CA13A7">
        <w:rPr>
          <w:sz w:val="20"/>
          <w:szCs w:val="20"/>
          <w:lang w:val="pt-BR"/>
        </w:rPr>
        <w:t>Dentre os marcos mais relevantes, destacam-se o Plano Nacional de Energia 2050, o Programa Nacional do Hidrogênio (PNH2) e o Projeto de Lei nº 725/2022, que contribuíram para o fortalecimento das bases científicas e tecnológicas, além de apontarem diretrizes para o desenvolvimento da economia do hidrogênio sustentável. O aprimoramento do arcabouço regulatório, iniciado com esses instrumentos, demonstra o crescente interesse em alinhar o Brasil às tendências globais de descarbonização e sustentabilidade.</w:t>
      </w:r>
    </w:p>
    <w:p w14:paraId="2041E877" w14:textId="77777777" w:rsidR="00DF4FF0" w:rsidRPr="00CA13A7" w:rsidRDefault="00000000">
      <w:pPr>
        <w:pBdr>
          <w:top w:val="nil"/>
          <w:left w:val="nil"/>
          <w:bottom w:val="nil"/>
          <w:right w:val="nil"/>
          <w:between w:val="nil"/>
        </w:pBdr>
        <w:ind w:firstLine="425"/>
        <w:rPr>
          <w:sz w:val="20"/>
          <w:szCs w:val="20"/>
          <w:lang w:val="pt-BR"/>
        </w:rPr>
      </w:pPr>
      <w:r w:rsidRPr="00CA13A7">
        <w:rPr>
          <w:sz w:val="20"/>
          <w:szCs w:val="20"/>
          <w:lang w:val="pt-BR"/>
        </w:rPr>
        <w:t>No entanto, é evidente que a estrutura regulatória nacional ainda apresenta lacunas importantes. A regulamentação específica para o hidrogênio verde carece de maior detalhamento e harmonização com as normas internacionais. Questões como segurança jurídica, incentivos fiscais e a integração entre os setores energético e industrial ainda necessitam de maior atenção para fomentar investimentos e consolidar o país como protagonista global no mercado de hidrogênio sustentável.</w:t>
      </w:r>
    </w:p>
    <w:p w14:paraId="2041E878" w14:textId="77777777" w:rsidR="00DF4FF0" w:rsidRPr="00CA13A7" w:rsidRDefault="00000000">
      <w:pPr>
        <w:pBdr>
          <w:top w:val="nil"/>
          <w:left w:val="nil"/>
          <w:bottom w:val="nil"/>
          <w:right w:val="nil"/>
          <w:between w:val="nil"/>
        </w:pBdr>
        <w:ind w:firstLine="425"/>
        <w:rPr>
          <w:sz w:val="20"/>
          <w:szCs w:val="20"/>
          <w:lang w:val="pt-BR"/>
        </w:rPr>
      </w:pPr>
      <w:r w:rsidRPr="00CA13A7">
        <w:rPr>
          <w:sz w:val="20"/>
          <w:szCs w:val="20"/>
          <w:lang w:val="pt-BR"/>
        </w:rPr>
        <w:t>Portanto, o desenvolvimento contínuo de um marco regulatório robusto e bem estruturado é imprescindível para garantir a competitividade do Brasil nesse setor estratégico. Investir em inovação, capacitação técnica e cooperação internacional, além de eliminar barreiras regulatórias, será determinante para transformar o potencial do hidrogênio em uma realidade econômica e ambiental concreta no país. Assim, este estudo contribui ao evidenciar a importância do avanço regulatório como base para o crescimento sustentável do hidrogênio no Brasil, apontando desafios que merecem atenção nas próximas etapas do desenvolvimento desse setor.</w:t>
      </w:r>
    </w:p>
    <w:p w14:paraId="2041E879" w14:textId="77777777" w:rsidR="00DF4FF0" w:rsidRDefault="00000000">
      <w:pPr>
        <w:pBdr>
          <w:top w:val="nil"/>
          <w:left w:val="nil"/>
          <w:bottom w:val="nil"/>
          <w:right w:val="nil"/>
          <w:between w:val="nil"/>
        </w:pBdr>
        <w:spacing w:before="240" w:after="120"/>
        <w:jc w:val="center"/>
        <w:rPr>
          <w:color w:val="000000"/>
          <w:sz w:val="20"/>
          <w:szCs w:val="20"/>
        </w:rPr>
      </w:pPr>
      <w:proofErr w:type="spellStart"/>
      <w:r>
        <w:rPr>
          <w:smallCaps/>
          <w:sz w:val="20"/>
          <w:szCs w:val="20"/>
        </w:rPr>
        <w:t>Referências</w:t>
      </w:r>
      <w:proofErr w:type="spellEnd"/>
    </w:p>
    <w:p w14:paraId="2041E87A" w14:textId="77777777" w:rsidR="00DF4FF0" w:rsidRDefault="00DF4FF0">
      <w:pPr>
        <w:pBdr>
          <w:top w:val="nil"/>
          <w:left w:val="nil"/>
          <w:bottom w:val="nil"/>
          <w:right w:val="nil"/>
          <w:between w:val="nil"/>
        </w:pBdr>
        <w:rPr>
          <w:color w:val="000000"/>
          <w:sz w:val="18"/>
          <w:szCs w:val="18"/>
        </w:rPr>
      </w:pPr>
    </w:p>
    <w:p w14:paraId="2041E87B" w14:textId="77777777" w:rsidR="00DF4FF0" w:rsidRDefault="00000000">
      <w:pPr>
        <w:numPr>
          <w:ilvl w:val="0"/>
          <w:numId w:val="2"/>
        </w:numPr>
        <w:spacing w:line="276" w:lineRule="auto"/>
        <w:rPr>
          <w:sz w:val="20"/>
          <w:szCs w:val="20"/>
        </w:rPr>
      </w:pPr>
      <w:r w:rsidRPr="00CA13A7">
        <w:rPr>
          <w:color w:val="0D0D0D"/>
          <w:sz w:val="20"/>
          <w:szCs w:val="20"/>
          <w:highlight w:val="white"/>
          <w:lang w:val="pt-BR"/>
        </w:rPr>
        <w:t xml:space="preserve">BEZERRA, Francisco Diniz. Hidrogênio verde: nasce um gigante no setor de energia. </w:t>
      </w:r>
      <w:r>
        <w:rPr>
          <w:color w:val="0D0D0D"/>
          <w:sz w:val="20"/>
          <w:szCs w:val="20"/>
          <w:highlight w:val="white"/>
        </w:rPr>
        <w:t>2021.</w:t>
      </w:r>
    </w:p>
    <w:p w14:paraId="2041E87C" w14:textId="77777777" w:rsidR="00DF4FF0" w:rsidRDefault="00000000">
      <w:pPr>
        <w:numPr>
          <w:ilvl w:val="0"/>
          <w:numId w:val="2"/>
        </w:numPr>
        <w:spacing w:line="276" w:lineRule="auto"/>
        <w:rPr>
          <w:sz w:val="20"/>
          <w:szCs w:val="20"/>
        </w:rPr>
      </w:pPr>
      <w:r w:rsidRPr="00CA13A7">
        <w:rPr>
          <w:color w:val="0D0D0D"/>
          <w:sz w:val="20"/>
          <w:szCs w:val="20"/>
          <w:highlight w:val="white"/>
          <w:lang w:val="pt-BR"/>
        </w:rPr>
        <w:t>MINISTÉRIO DA CIÊNCIA, TECNOLOGIA, INOVAÇÕES E COMUNICAÇÕES - MCTIC (Brasil). Acordo de Paris. MCTIC,2021. Disponí</w:t>
      </w:r>
      <w:r w:rsidRPr="00CA13A7">
        <w:rPr>
          <w:sz w:val="20"/>
          <w:szCs w:val="20"/>
          <w:highlight w:val="white"/>
          <w:lang w:val="pt-BR"/>
        </w:rPr>
        <w:t>vel em:</w:t>
      </w:r>
      <w:hyperlink r:id="rId11">
        <w:r w:rsidR="00DF4FF0" w:rsidRPr="00CA13A7">
          <w:rPr>
            <w:sz w:val="20"/>
            <w:szCs w:val="20"/>
            <w:highlight w:val="white"/>
            <w:lang w:val="pt-BR"/>
          </w:rPr>
          <w:t>https://www.gov.br/mcti/pt-br/acompanhe-o-mcti/sirene/publicacoes/acordo-de-paris-e-ndc/arquivos/pdf/acordo_paris.pdf</w:t>
        </w:r>
      </w:hyperlink>
      <w:r w:rsidRPr="00CA13A7">
        <w:rPr>
          <w:sz w:val="20"/>
          <w:szCs w:val="20"/>
          <w:highlight w:val="white"/>
          <w:lang w:val="pt-BR"/>
        </w:rPr>
        <w:t xml:space="preserve">. </w:t>
      </w:r>
      <w:proofErr w:type="spellStart"/>
      <w:r>
        <w:rPr>
          <w:sz w:val="20"/>
          <w:szCs w:val="20"/>
          <w:highlight w:val="white"/>
        </w:rPr>
        <w:t>Acesso</w:t>
      </w:r>
      <w:proofErr w:type="spellEnd"/>
      <w:r>
        <w:rPr>
          <w:sz w:val="20"/>
          <w:szCs w:val="20"/>
          <w:highlight w:val="white"/>
        </w:rPr>
        <w:t xml:space="preserve"> </w:t>
      </w:r>
      <w:proofErr w:type="spellStart"/>
      <w:r>
        <w:rPr>
          <w:sz w:val="20"/>
          <w:szCs w:val="20"/>
          <w:highlight w:val="white"/>
        </w:rPr>
        <w:t>em</w:t>
      </w:r>
      <w:proofErr w:type="spellEnd"/>
      <w:r>
        <w:rPr>
          <w:sz w:val="20"/>
          <w:szCs w:val="20"/>
          <w:highlight w:val="white"/>
        </w:rPr>
        <w:t xml:space="preserve">: 20 </w:t>
      </w:r>
      <w:proofErr w:type="spellStart"/>
      <w:r>
        <w:rPr>
          <w:sz w:val="20"/>
          <w:szCs w:val="20"/>
          <w:highlight w:val="white"/>
        </w:rPr>
        <w:t>jan.</w:t>
      </w:r>
      <w:proofErr w:type="spellEnd"/>
      <w:r>
        <w:rPr>
          <w:sz w:val="20"/>
          <w:szCs w:val="20"/>
          <w:highlight w:val="white"/>
        </w:rPr>
        <w:t xml:space="preserve"> 2025.</w:t>
      </w:r>
    </w:p>
    <w:p w14:paraId="2041E87D" w14:textId="77777777" w:rsidR="00DF4FF0" w:rsidRPr="00CA13A7" w:rsidRDefault="00000000">
      <w:pPr>
        <w:numPr>
          <w:ilvl w:val="0"/>
          <w:numId w:val="2"/>
        </w:numPr>
        <w:spacing w:line="276" w:lineRule="auto"/>
        <w:rPr>
          <w:sz w:val="20"/>
          <w:szCs w:val="20"/>
          <w:lang w:val="pt-BR"/>
        </w:rPr>
      </w:pPr>
      <w:r w:rsidRPr="00CA13A7">
        <w:rPr>
          <w:sz w:val="20"/>
          <w:szCs w:val="20"/>
          <w:highlight w:val="white"/>
          <w:lang w:val="pt-BR"/>
        </w:rPr>
        <w:t xml:space="preserve">GESEL (Rio de Janeiro). </w:t>
      </w:r>
      <w:proofErr w:type="spellStart"/>
      <w:r w:rsidRPr="00CA13A7">
        <w:rPr>
          <w:sz w:val="20"/>
          <w:szCs w:val="20"/>
          <w:highlight w:val="white"/>
          <w:lang w:val="pt-BR"/>
        </w:rPr>
        <w:t>Ufrj</w:t>
      </w:r>
      <w:proofErr w:type="spellEnd"/>
      <w:r w:rsidRPr="00CA13A7">
        <w:rPr>
          <w:sz w:val="20"/>
          <w:szCs w:val="20"/>
          <w:highlight w:val="white"/>
          <w:lang w:val="pt-BR"/>
        </w:rPr>
        <w:t xml:space="preserve"> (org.). Perspectivas da Economia do Hidrogênio no Setor Energético Brasileiro: texto de discussão do setor elétrico. Tex</w:t>
      </w:r>
      <w:r w:rsidRPr="00CA13A7">
        <w:rPr>
          <w:color w:val="222222"/>
          <w:sz w:val="20"/>
          <w:szCs w:val="20"/>
          <w:highlight w:val="white"/>
          <w:lang w:val="pt-BR"/>
        </w:rPr>
        <w:t>to de Discussão do Setor Elétrico. 2021. Disponível em: https://gesel.ie.ufrj.br/wp-content/uploads/2022/06/39_castro_2021_07_14.pdf. Acesso em: 29 jan. 2025.</w:t>
      </w:r>
    </w:p>
    <w:p w14:paraId="2041E87E" w14:textId="77777777" w:rsidR="00DF4FF0" w:rsidRPr="00CA13A7" w:rsidRDefault="00000000">
      <w:pPr>
        <w:numPr>
          <w:ilvl w:val="0"/>
          <w:numId w:val="2"/>
        </w:numPr>
        <w:spacing w:line="276" w:lineRule="auto"/>
        <w:rPr>
          <w:sz w:val="20"/>
          <w:szCs w:val="20"/>
          <w:lang w:val="pt-BR"/>
        </w:rPr>
      </w:pPr>
      <w:r w:rsidRPr="00CA13A7">
        <w:rPr>
          <w:color w:val="0D0D0D"/>
          <w:sz w:val="20"/>
          <w:szCs w:val="20"/>
          <w:highlight w:val="white"/>
          <w:lang w:val="pt-BR"/>
        </w:rPr>
        <w:t>PLANO NACIONAL DE ENERGIA 2050. Ministério de Minas e Energia. Empresa de Pesquisa Energética. Brasília: MME/EPE, 2020.</w:t>
      </w:r>
    </w:p>
    <w:p w14:paraId="2041E87F" w14:textId="77777777" w:rsidR="00DF4FF0" w:rsidRPr="00CA13A7" w:rsidRDefault="00000000">
      <w:pPr>
        <w:numPr>
          <w:ilvl w:val="0"/>
          <w:numId w:val="2"/>
        </w:numPr>
        <w:spacing w:line="276" w:lineRule="auto"/>
        <w:rPr>
          <w:sz w:val="20"/>
          <w:szCs w:val="20"/>
          <w:lang w:val="pt-BR"/>
        </w:rPr>
      </w:pPr>
      <w:r w:rsidRPr="00CA13A7">
        <w:rPr>
          <w:color w:val="0D0D0D"/>
          <w:sz w:val="20"/>
          <w:szCs w:val="20"/>
          <w:highlight w:val="white"/>
          <w:lang w:val="pt-BR"/>
        </w:rPr>
        <w:t>OLIVEIRA, Rosana Cavalcante de (org.). Panorama do hidrogênio no Brasil: texto para discussão (</w:t>
      </w:r>
      <w:proofErr w:type="spellStart"/>
      <w:r w:rsidRPr="00CA13A7">
        <w:rPr>
          <w:color w:val="0D0D0D"/>
          <w:sz w:val="20"/>
          <w:szCs w:val="20"/>
          <w:highlight w:val="white"/>
          <w:lang w:val="pt-BR"/>
        </w:rPr>
        <w:t>td</w:t>
      </w:r>
      <w:proofErr w:type="spellEnd"/>
      <w:r w:rsidRPr="00CA13A7">
        <w:rPr>
          <w:color w:val="0D0D0D"/>
          <w:sz w:val="20"/>
          <w:szCs w:val="20"/>
          <w:highlight w:val="white"/>
          <w:lang w:val="pt-BR"/>
        </w:rPr>
        <w:t xml:space="preserve">) 2787 : panorama do hidrogênio no brasil. </w:t>
      </w:r>
      <w:r>
        <w:rPr>
          <w:color w:val="0D0D0D"/>
          <w:sz w:val="20"/>
          <w:szCs w:val="20"/>
          <w:highlight w:val="white"/>
        </w:rPr>
        <w:t xml:space="preserve">Brasília: Instituto de Pesquisa </w:t>
      </w:r>
      <w:proofErr w:type="spellStart"/>
      <w:r>
        <w:rPr>
          <w:color w:val="0D0D0D"/>
          <w:sz w:val="20"/>
          <w:szCs w:val="20"/>
          <w:highlight w:val="white"/>
        </w:rPr>
        <w:t>Econômica</w:t>
      </w:r>
      <w:proofErr w:type="spellEnd"/>
      <w:r>
        <w:rPr>
          <w:color w:val="0D0D0D"/>
          <w:sz w:val="20"/>
          <w:szCs w:val="20"/>
          <w:highlight w:val="white"/>
        </w:rPr>
        <w:t xml:space="preserve"> </w:t>
      </w:r>
      <w:proofErr w:type="spellStart"/>
      <w:r>
        <w:rPr>
          <w:color w:val="0D0D0D"/>
          <w:sz w:val="20"/>
          <w:szCs w:val="20"/>
          <w:highlight w:val="white"/>
        </w:rPr>
        <w:t>Aplicada</w:t>
      </w:r>
      <w:proofErr w:type="spellEnd"/>
      <w:r>
        <w:rPr>
          <w:color w:val="0D0D0D"/>
          <w:sz w:val="20"/>
          <w:szCs w:val="20"/>
          <w:highlight w:val="white"/>
        </w:rPr>
        <w:t xml:space="preserve"> (</w:t>
      </w:r>
      <w:proofErr w:type="spellStart"/>
      <w:r>
        <w:rPr>
          <w:color w:val="0D0D0D"/>
          <w:sz w:val="20"/>
          <w:szCs w:val="20"/>
          <w:highlight w:val="white"/>
        </w:rPr>
        <w:t>Ipea</w:t>
      </w:r>
      <w:proofErr w:type="spellEnd"/>
      <w:r>
        <w:rPr>
          <w:color w:val="0D0D0D"/>
          <w:sz w:val="20"/>
          <w:szCs w:val="20"/>
          <w:highlight w:val="white"/>
        </w:rPr>
        <w:t xml:space="preserve">), 2022. </w:t>
      </w:r>
      <w:r w:rsidRPr="00CA13A7">
        <w:rPr>
          <w:color w:val="0D0D0D"/>
          <w:sz w:val="20"/>
          <w:szCs w:val="20"/>
          <w:highlight w:val="white"/>
          <w:lang w:val="pt-BR"/>
        </w:rPr>
        <w:t>Disponível em: https://repositorio.ipea.gov.br/bitstream/11058/11291/1/td_2787_web.pdf. Acesso em: 10 maio 2024.</w:t>
      </w:r>
    </w:p>
    <w:p w14:paraId="2041E880" w14:textId="77777777" w:rsidR="00DF4FF0" w:rsidRDefault="00000000">
      <w:pPr>
        <w:numPr>
          <w:ilvl w:val="0"/>
          <w:numId w:val="2"/>
        </w:numPr>
        <w:spacing w:line="276" w:lineRule="auto"/>
        <w:rPr>
          <w:rFonts w:ascii="Arial" w:eastAsia="Arial" w:hAnsi="Arial" w:cs="Arial"/>
          <w:color w:val="0D0D0D"/>
          <w:sz w:val="20"/>
          <w:szCs w:val="20"/>
          <w:highlight w:val="white"/>
        </w:rPr>
      </w:pPr>
      <w:r w:rsidRPr="00CA13A7">
        <w:rPr>
          <w:color w:val="0D0D0D"/>
          <w:sz w:val="20"/>
          <w:szCs w:val="20"/>
          <w:highlight w:val="white"/>
          <w:lang w:val="pt-BR"/>
        </w:rPr>
        <w:t xml:space="preserve">CARVALHO, Julia </w:t>
      </w:r>
      <w:proofErr w:type="spellStart"/>
      <w:r w:rsidRPr="00CA13A7">
        <w:rPr>
          <w:color w:val="0D0D0D"/>
          <w:sz w:val="20"/>
          <w:szCs w:val="20"/>
          <w:highlight w:val="white"/>
          <w:lang w:val="pt-BR"/>
        </w:rPr>
        <w:t>Finamor</w:t>
      </w:r>
      <w:proofErr w:type="spellEnd"/>
      <w:r w:rsidRPr="00CA13A7">
        <w:rPr>
          <w:color w:val="0D0D0D"/>
          <w:sz w:val="20"/>
          <w:szCs w:val="20"/>
          <w:highlight w:val="white"/>
          <w:lang w:val="pt-BR"/>
        </w:rPr>
        <w:t xml:space="preserve">; GARCIA, José Victor da Silva. Hidrogênio verde: estudo de caso do Brasil. </w:t>
      </w:r>
      <w:r>
        <w:rPr>
          <w:color w:val="0D0D0D"/>
          <w:sz w:val="20"/>
          <w:szCs w:val="20"/>
          <w:highlight w:val="white"/>
        </w:rPr>
        <w:t>2022.</w:t>
      </w:r>
    </w:p>
    <w:p w14:paraId="2041E881" w14:textId="77777777" w:rsidR="00DF4FF0" w:rsidRDefault="00000000">
      <w:pPr>
        <w:numPr>
          <w:ilvl w:val="0"/>
          <w:numId w:val="2"/>
        </w:numPr>
        <w:spacing w:line="276" w:lineRule="auto"/>
        <w:rPr>
          <w:color w:val="0D0D0D"/>
          <w:sz w:val="20"/>
          <w:szCs w:val="20"/>
          <w:highlight w:val="white"/>
        </w:rPr>
      </w:pPr>
      <w:r w:rsidRPr="00CA13A7">
        <w:rPr>
          <w:color w:val="0D0D0D"/>
          <w:sz w:val="20"/>
          <w:szCs w:val="20"/>
          <w:highlight w:val="white"/>
          <w:lang w:val="pt-BR"/>
        </w:rPr>
        <w:t>MME. Ministério de Minas e Energia. Resolução nº 2, de 10 de fevereiro de 2021. Estabelece orientações sobre pesquisa, desenvolvimento e inovação no setor de energia do País. Brasília, 2021. 2p. Disponível</w:t>
      </w:r>
      <w:r w:rsidRPr="00CA13A7">
        <w:rPr>
          <w:sz w:val="20"/>
          <w:szCs w:val="20"/>
          <w:highlight w:val="white"/>
          <w:lang w:val="pt-BR"/>
        </w:rPr>
        <w:t xml:space="preserve"> em:</w:t>
      </w:r>
      <w:hyperlink r:id="rId12">
        <w:r w:rsidR="00DF4FF0" w:rsidRPr="00CA13A7">
          <w:rPr>
            <w:sz w:val="20"/>
            <w:szCs w:val="20"/>
            <w:highlight w:val="white"/>
            <w:lang w:val="pt-BR"/>
          </w:rPr>
          <w:t xml:space="preserve"> https://www.gov.br/mme/pt-br/assuntos/conselhos-e-comites/cnpe/resolucoes-do-cnpe/arquivos/2021/resolucao-2-cnpe.pdf</w:t>
        </w:r>
      </w:hyperlink>
      <w:r w:rsidRPr="00CA13A7">
        <w:rPr>
          <w:sz w:val="20"/>
          <w:szCs w:val="20"/>
          <w:highlight w:val="white"/>
          <w:lang w:val="pt-BR"/>
        </w:rPr>
        <w:t xml:space="preserve">. </w:t>
      </w:r>
      <w:proofErr w:type="spellStart"/>
      <w:r>
        <w:rPr>
          <w:sz w:val="20"/>
          <w:szCs w:val="20"/>
          <w:highlight w:val="white"/>
        </w:rPr>
        <w:t>Acesso</w:t>
      </w:r>
      <w:proofErr w:type="spellEnd"/>
      <w:r>
        <w:rPr>
          <w:sz w:val="20"/>
          <w:szCs w:val="20"/>
          <w:highlight w:val="white"/>
        </w:rPr>
        <w:t xml:space="preserve"> </w:t>
      </w:r>
      <w:proofErr w:type="spellStart"/>
      <w:r>
        <w:rPr>
          <w:sz w:val="20"/>
          <w:szCs w:val="20"/>
          <w:highlight w:val="white"/>
        </w:rPr>
        <w:t>em</w:t>
      </w:r>
      <w:proofErr w:type="spellEnd"/>
      <w:r>
        <w:rPr>
          <w:sz w:val="20"/>
          <w:szCs w:val="20"/>
          <w:highlight w:val="white"/>
        </w:rPr>
        <w:t>: 10 out. 2024.</w:t>
      </w:r>
    </w:p>
    <w:p w14:paraId="2041E882" w14:textId="77777777" w:rsidR="00DF4FF0" w:rsidRDefault="00000000">
      <w:pPr>
        <w:numPr>
          <w:ilvl w:val="0"/>
          <w:numId w:val="2"/>
        </w:numPr>
        <w:spacing w:line="276" w:lineRule="auto"/>
        <w:rPr>
          <w:rFonts w:ascii="Arial" w:eastAsia="Arial" w:hAnsi="Arial" w:cs="Arial"/>
          <w:sz w:val="20"/>
          <w:szCs w:val="20"/>
          <w:highlight w:val="white"/>
        </w:rPr>
      </w:pPr>
      <w:r w:rsidRPr="00CA13A7">
        <w:rPr>
          <w:sz w:val="20"/>
          <w:szCs w:val="20"/>
          <w:highlight w:val="white"/>
          <w:lang w:val="pt-BR"/>
        </w:rPr>
        <w:t>EPE – EMPRESA DE PESQUISA ENERGÉTICA. Bases para a Consolidação da Estratégia Brasileira de Hidrogênio. Nota Técnica. Rio de Janeiro, 2021. Disponível em:</w:t>
      </w:r>
      <w:hyperlink r:id="rId13">
        <w:r w:rsidR="00DF4FF0" w:rsidRPr="00CA13A7">
          <w:rPr>
            <w:sz w:val="20"/>
            <w:szCs w:val="20"/>
            <w:highlight w:val="white"/>
            <w:lang w:val="pt-BR"/>
          </w:rPr>
          <w:t xml:space="preserve"> https://www.epe.gov.br/sites-pt/publicacoes-dados-abertos/publicacoes/PublicacoesArquivos/publicacao-569/Hidroge%CC%82nio_23Fev2021NT%20(2).pdf</w:t>
        </w:r>
      </w:hyperlink>
      <w:r w:rsidRPr="00CA13A7">
        <w:rPr>
          <w:sz w:val="20"/>
          <w:szCs w:val="20"/>
          <w:highlight w:val="white"/>
          <w:lang w:val="pt-BR"/>
        </w:rPr>
        <w:t xml:space="preserve">. </w:t>
      </w:r>
      <w:proofErr w:type="spellStart"/>
      <w:r>
        <w:rPr>
          <w:sz w:val="20"/>
          <w:szCs w:val="20"/>
          <w:highlight w:val="white"/>
        </w:rPr>
        <w:t>Acesso</w:t>
      </w:r>
      <w:proofErr w:type="spellEnd"/>
      <w:r>
        <w:rPr>
          <w:sz w:val="20"/>
          <w:szCs w:val="20"/>
          <w:highlight w:val="white"/>
        </w:rPr>
        <w:t xml:space="preserve"> </w:t>
      </w:r>
      <w:proofErr w:type="spellStart"/>
      <w:r>
        <w:rPr>
          <w:sz w:val="20"/>
          <w:szCs w:val="20"/>
          <w:highlight w:val="white"/>
        </w:rPr>
        <w:t>em</w:t>
      </w:r>
      <w:proofErr w:type="spellEnd"/>
      <w:r>
        <w:rPr>
          <w:sz w:val="20"/>
          <w:szCs w:val="20"/>
          <w:highlight w:val="white"/>
        </w:rPr>
        <w:t>: 10 out. 2024.</w:t>
      </w:r>
    </w:p>
    <w:p w14:paraId="2041E883" w14:textId="77777777" w:rsidR="00DF4FF0" w:rsidRDefault="00000000">
      <w:pPr>
        <w:numPr>
          <w:ilvl w:val="0"/>
          <w:numId w:val="2"/>
        </w:numPr>
        <w:rPr>
          <w:sz w:val="20"/>
          <w:szCs w:val="20"/>
        </w:rPr>
      </w:pPr>
      <w:r w:rsidRPr="00CA13A7">
        <w:rPr>
          <w:sz w:val="20"/>
          <w:szCs w:val="20"/>
          <w:lang w:val="pt-BR"/>
        </w:rPr>
        <w:t xml:space="preserve">MME. Ministério de Minas e Energia. Brasil apresenta pactos energéticos em biocombustíveis e hidrogênio no Diálogo em Alto Nível da ONU sobre Energia. 23 de junho de 2021. Disponível </w:t>
      </w:r>
      <w:proofErr w:type="spellStart"/>
      <w:r w:rsidRPr="00CA13A7">
        <w:rPr>
          <w:sz w:val="20"/>
          <w:szCs w:val="20"/>
          <w:lang w:val="pt-BR"/>
        </w:rPr>
        <w:t>onine</w:t>
      </w:r>
      <w:proofErr w:type="spellEnd"/>
      <w:r w:rsidRPr="00CA13A7">
        <w:rPr>
          <w:sz w:val="20"/>
          <w:szCs w:val="20"/>
          <w:lang w:val="pt-BR"/>
        </w:rPr>
        <w:t xml:space="preserve">: https://www.gov.br/mme/pt-br/assuntos/noticias/brasil-apresenta-pactos-energeticos-em-biocombustiveis-e-hidrogenio-no-dialogo-de-alto-nivel-da-onu-sobre-energia. </w:t>
      </w:r>
      <w:proofErr w:type="spellStart"/>
      <w:r>
        <w:rPr>
          <w:sz w:val="20"/>
          <w:szCs w:val="20"/>
        </w:rPr>
        <w:t>Acesso</w:t>
      </w:r>
      <w:proofErr w:type="spellEnd"/>
      <w:r>
        <w:rPr>
          <w:sz w:val="20"/>
          <w:szCs w:val="20"/>
        </w:rPr>
        <w:t xml:space="preserve"> </w:t>
      </w:r>
      <w:proofErr w:type="spellStart"/>
      <w:r>
        <w:rPr>
          <w:sz w:val="20"/>
          <w:szCs w:val="20"/>
        </w:rPr>
        <w:t>em</w:t>
      </w:r>
      <w:proofErr w:type="spellEnd"/>
      <w:r>
        <w:rPr>
          <w:sz w:val="20"/>
          <w:szCs w:val="20"/>
        </w:rPr>
        <w:t>: 10 out. 2024.</w:t>
      </w:r>
    </w:p>
    <w:p w14:paraId="2041E884" w14:textId="77777777" w:rsidR="00DF4FF0" w:rsidRPr="00CA13A7" w:rsidRDefault="00000000">
      <w:pPr>
        <w:numPr>
          <w:ilvl w:val="0"/>
          <w:numId w:val="2"/>
        </w:numPr>
        <w:rPr>
          <w:sz w:val="20"/>
          <w:szCs w:val="20"/>
          <w:lang w:val="pt-BR"/>
        </w:rPr>
      </w:pPr>
      <w:r w:rsidRPr="00CA13A7">
        <w:rPr>
          <w:sz w:val="20"/>
          <w:szCs w:val="20"/>
          <w:lang w:val="pt-BR"/>
        </w:rPr>
        <w:t>MME. Ministério de Minas e Energia. Resolução nº 6, de 20 de abril de 2021. Determina a realização de estudo para proposição de diretrizes para o Programa Nacional do Hidrogênio. Brasília, 2021. 10p. Disponível online: https://www.gov.br/mme/pt-br/assuntos/conselhos-e-comites/cnpe/resolucoes-do-cnpe/arquivos/2021/ResoluesCNPE6_2021.pdf. Acesso em: 10 out. 2024.</w:t>
      </w:r>
    </w:p>
    <w:p w14:paraId="2041E885" w14:textId="77777777" w:rsidR="00DF4FF0" w:rsidRPr="00CA13A7" w:rsidRDefault="00000000">
      <w:pPr>
        <w:numPr>
          <w:ilvl w:val="0"/>
          <w:numId w:val="2"/>
        </w:numPr>
        <w:rPr>
          <w:sz w:val="20"/>
          <w:szCs w:val="20"/>
          <w:lang w:val="pt-BR"/>
        </w:rPr>
      </w:pPr>
      <w:r w:rsidRPr="00CA13A7">
        <w:rPr>
          <w:sz w:val="20"/>
          <w:szCs w:val="20"/>
          <w:lang w:val="pt-BR"/>
        </w:rPr>
        <w:t>BRASIL. Conselho Nacional de Política Energética (CNPE). Resolução nº 6, de 29 de junho de 2022. Institui o Programa Nacional do Hidrogênio, cria o Comitê Gestor do Programa Nacional do Hidrogênio, e dá outras providências. Disponível online: https://www.gov.br/mme/pt-br/assuntos/conselhos-e-comites/cnpe/resolucoes-do-cnpe/2022/Res62022.pdf. Acesso em: 10 out. 2024.</w:t>
      </w:r>
    </w:p>
    <w:p w14:paraId="2041E886" w14:textId="77777777" w:rsidR="00DF4FF0" w:rsidRDefault="00000000">
      <w:pPr>
        <w:numPr>
          <w:ilvl w:val="0"/>
          <w:numId w:val="2"/>
        </w:numPr>
        <w:rPr>
          <w:sz w:val="20"/>
          <w:szCs w:val="20"/>
        </w:rPr>
      </w:pPr>
      <w:r w:rsidRPr="00CA13A7">
        <w:rPr>
          <w:sz w:val="20"/>
          <w:szCs w:val="20"/>
          <w:lang w:val="pt-BR"/>
        </w:rPr>
        <w:t xml:space="preserve">BRASIL. Senado Federal. Projeto de Lei nº 725, de 2022. Disciplina a inserção do hidrogênio como fonte de energia no Brasil, e estabelece parâmetros de incentivo ao uso do hidrogênio sustentável. Disponível online: https://legis.senado.leg.br/sdleg-getter/documento?dm=9096609&amp;ts=1699468504020&amp;disposition=inline. </w:t>
      </w:r>
      <w:proofErr w:type="spellStart"/>
      <w:r>
        <w:rPr>
          <w:sz w:val="20"/>
          <w:szCs w:val="20"/>
        </w:rPr>
        <w:t>Acesso</w:t>
      </w:r>
      <w:proofErr w:type="spellEnd"/>
      <w:r>
        <w:rPr>
          <w:sz w:val="20"/>
          <w:szCs w:val="20"/>
        </w:rPr>
        <w:t xml:space="preserve"> </w:t>
      </w:r>
      <w:proofErr w:type="spellStart"/>
      <w:r>
        <w:rPr>
          <w:sz w:val="20"/>
          <w:szCs w:val="20"/>
        </w:rPr>
        <w:t>em</w:t>
      </w:r>
      <w:proofErr w:type="spellEnd"/>
      <w:r>
        <w:rPr>
          <w:sz w:val="20"/>
          <w:szCs w:val="20"/>
        </w:rPr>
        <w:t>: 10 out. 2024.</w:t>
      </w:r>
    </w:p>
    <w:p w14:paraId="2041E887" w14:textId="77777777" w:rsidR="00DF4FF0" w:rsidRPr="00CA13A7" w:rsidRDefault="00000000">
      <w:pPr>
        <w:numPr>
          <w:ilvl w:val="0"/>
          <w:numId w:val="2"/>
        </w:numPr>
        <w:rPr>
          <w:sz w:val="20"/>
          <w:szCs w:val="20"/>
          <w:lang w:val="pt-BR"/>
        </w:rPr>
      </w:pPr>
      <w:r w:rsidRPr="00CA13A7">
        <w:rPr>
          <w:sz w:val="20"/>
          <w:szCs w:val="20"/>
          <w:lang w:val="pt-BR"/>
        </w:rPr>
        <w:t>BRASIL. Arquivo Nacional. Resolução nº 6, de 23 de junho de 2022. Diário Oficial da União. Brasília, 23 de junho de 2022. Disponível online: https://www.gov.br/mme/pt-br/assuntos/conselhos-e-comites/cnpe/resolucoes-do-cnpe/2022/Res62022.pdf. Acesso: 10 out. 2024.</w:t>
      </w:r>
    </w:p>
    <w:p w14:paraId="2041E888" w14:textId="77777777" w:rsidR="00DF4FF0" w:rsidRPr="00CA13A7" w:rsidRDefault="00000000">
      <w:pPr>
        <w:numPr>
          <w:ilvl w:val="0"/>
          <w:numId w:val="2"/>
        </w:numPr>
        <w:rPr>
          <w:sz w:val="20"/>
          <w:szCs w:val="20"/>
          <w:lang w:val="pt-BR"/>
        </w:rPr>
      </w:pPr>
      <w:r w:rsidRPr="00CA13A7">
        <w:rPr>
          <w:sz w:val="20"/>
          <w:szCs w:val="20"/>
          <w:lang w:val="pt-BR"/>
        </w:rPr>
        <w:t>BRASIL. Arquivo Nacional. Resolução nº 4, de 20 de março de 2023. Altera a Resolução CNPE nº 6, que institui o Programa Nacional do Hidrogênio, cria o Comitê Gestor do Programa Nacional do Hidrogênio e dá outras providências. Diário Oficial da União. Brasília, 06 de abril de 2023. Disponível em: https://www.gov.br/mme/pt-br/assuntos/conselhos-e-comites/cnpe/resolucoes-do-cnpe/2023/ResoluoCNPE4_2023.pdf. Acesso: 10 out. 2024.</w:t>
      </w:r>
    </w:p>
    <w:p w14:paraId="2041E889" w14:textId="77777777" w:rsidR="00DF4FF0" w:rsidRPr="00CA13A7" w:rsidRDefault="00000000">
      <w:pPr>
        <w:numPr>
          <w:ilvl w:val="0"/>
          <w:numId w:val="2"/>
        </w:numPr>
        <w:rPr>
          <w:sz w:val="20"/>
          <w:szCs w:val="20"/>
          <w:lang w:val="pt-BR"/>
        </w:rPr>
      </w:pPr>
      <w:r w:rsidRPr="00CA13A7">
        <w:rPr>
          <w:sz w:val="20"/>
          <w:szCs w:val="20"/>
          <w:lang w:val="pt-BR"/>
        </w:rPr>
        <w:t>MINISTÉRIO DE MINAS E ENERGIA (Brasil). Plano de Trabalho Trienal 2023-2025 do Programa Nacional do Hidrogênio – PNH2. Brasília, DF: MME, 2023. O documento apresenta diretrizes, metas e ações para a consolidação do hidrogênio de baixa emissão de carbono no Brasil, incluindo estratégias para atração de investimentos, desenvolvimento tecnológico e marcos regulatórios. Disponível em: https://www.gov.br/mme/pt-br/programa-nacional-do-hidrogenio-1/planodetrabalhotrienalpnh2.pdf. Acesso em: 02 out. 2024.</w:t>
      </w:r>
    </w:p>
    <w:p w14:paraId="2041E88A" w14:textId="77777777" w:rsidR="00DF4FF0" w:rsidRDefault="00000000">
      <w:pPr>
        <w:numPr>
          <w:ilvl w:val="0"/>
          <w:numId w:val="2"/>
        </w:numPr>
        <w:rPr>
          <w:sz w:val="20"/>
          <w:szCs w:val="20"/>
        </w:rPr>
      </w:pPr>
      <w:r w:rsidRPr="00CA13A7">
        <w:rPr>
          <w:sz w:val="20"/>
          <w:szCs w:val="20"/>
          <w:lang w:val="pt-BR"/>
        </w:rPr>
        <w:t xml:space="preserve">BRASIL. Senado Federal. Projeto de Lei nº 2308, de 2023. Dispõe sobre a definição legal de hidrogênio combustível e de hidrogênio verde. Disponível online: https://www.camara.leg.br/proposicoesWeb/fichadetramitacao?idProposicao=2359608. </w:t>
      </w:r>
      <w:proofErr w:type="spellStart"/>
      <w:r>
        <w:rPr>
          <w:sz w:val="20"/>
          <w:szCs w:val="20"/>
        </w:rPr>
        <w:t>Acesso</w:t>
      </w:r>
      <w:proofErr w:type="spellEnd"/>
      <w:r>
        <w:rPr>
          <w:sz w:val="20"/>
          <w:szCs w:val="20"/>
        </w:rPr>
        <w:t xml:space="preserve"> </w:t>
      </w:r>
      <w:proofErr w:type="spellStart"/>
      <w:r>
        <w:rPr>
          <w:sz w:val="20"/>
          <w:szCs w:val="20"/>
        </w:rPr>
        <w:t>em</w:t>
      </w:r>
      <w:proofErr w:type="spellEnd"/>
      <w:r>
        <w:rPr>
          <w:sz w:val="20"/>
          <w:szCs w:val="20"/>
        </w:rPr>
        <w:t xml:space="preserve">: 10 out. 2024. </w:t>
      </w:r>
      <w:proofErr w:type="spellStart"/>
      <w:r>
        <w:rPr>
          <w:sz w:val="20"/>
          <w:szCs w:val="20"/>
        </w:rPr>
        <w:t>Acesso</w:t>
      </w:r>
      <w:proofErr w:type="spellEnd"/>
      <w:r>
        <w:rPr>
          <w:sz w:val="20"/>
          <w:szCs w:val="20"/>
        </w:rPr>
        <w:t xml:space="preserve"> </w:t>
      </w:r>
      <w:proofErr w:type="spellStart"/>
      <w:r>
        <w:rPr>
          <w:sz w:val="20"/>
          <w:szCs w:val="20"/>
        </w:rPr>
        <w:t>em</w:t>
      </w:r>
      <w:proofErr w:type="spellEnd"/>
      <w:r>
        <w:rPr>
          <w:sz w:val="20"/>
          <w:szCs w:val="20"/>
        </w:rPr>
        <w:t>: 10 out. 2024.</w:t>
      </w:r>
    </w:p>
    <w:p w14:paraId="2041E88B" w14:textId="77777777" w:rsidR="00DF4FF0" w:rsidRPr="00CA13A7" w:rsidRDefault="00000000">
      <w:pPr>
        <w:numPr>
          <w:ilvl w:val="0"/>
          <w:numId w:val="2"/>
        </w:numPr>
        <w:rPr>
          <w:sz w:val="20"/>
          <w:szCs w:val="20"/>
          <w:lang w:val="pt-BR"/>
        </w:rPr>
      </w:pPr>
      <w:r w:rsidRPr="00CA13A7">
        <w:rPr>
          <w:sz w:val="20"/>
          <w:szCs w:val="20"/>
          <w:lang w:val="pt-BR"/>
        </w:rPr>
        <w:t>BRASIL. Lei nº 14.948, de 2 de agosto de 2024. Institui o marco legal do hidrogênio de baixa emissão de carbono no Brasil e estabelece a Política Nacional do Hidrogênio de Baixa Emissão de Carbono (PNHBC). Disponível em: https://legis.senado.leg.br/norma/39410139/publicacao/39411540. Acesso em: 10 out. 2024.</w:t>
      </w:r>
    </w:p>
    <w:p w14:paraId="2041E88C" w14:textId="77777777" w:rsidR="00DF4FF0" w:rsidRPr="00CA13A7" w:rsidRDefault="00DF4FF0">
      <w:pPr>
        <w:spacing w:before="240"/>
        <w:rPr>
          <w:sz w:val="20"/>
          <w:szCs w:val="20"/>
          <w:lang w:val="pt-BR"/>
        </w:rPr>
      </w:pPr>
    </w:p>
    <w:p w14:paraId="2041E88D" w14:textId="77777777" w:rsidR="00DF4FF0" w:rsidRPr="00CA13A7" w:rsidRDefault="00DF4FF0">
      <w:pPr>
        <w:pBdr>
          <w:top w:val="nil"/>
          <w:left w:val="nil"/>
          <w:bottom w:val="nil"/>
          <w:right w:val="nil"/>
          <w:between w:val="nil"/>
        </w:pBdr>
        <w:spacing w:before="240" w:after="120"/>
        <w:jc w:val="left"/>
        <w:rPr>
          <w:sz w:val="20"/>
          <w:szCs w:val="20"/>
          <w:lang w:val="pt-BR"/>
        </w:rPr>
      </w:pPr>
    </w:p>
    <w:sectPr w:rsidR="00DF4FF0" w:rsidRPr="00CA13A7">
      <w:headerReference w:type="even" r:id="rId14"/>
      <w:headerReference w:type="default" r:id="rId15"/>
      <w:footerReference w:type="default" r:id="rId16"/>
      <w:headerReference w:type="first" r:id="rId17"/>
      <w:footerReference w:type="first" r:id="rId18"/>
      <w:pgSz w:w="11906" w:h="16838"/>
      <w:pgMar w:top="1417" w:right="1531" w:bottom="1077" w:left="153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F6808" w14:textId="77777777" w:rsidR="00843222" w:rsidRDefault="00843222">
      <w:r>
        <w:separator/>
      </w:r>
    </w:p>
  </w:endnote>
  <w:endnote w:type="continuationSeparator" w:id="0">
    <w:p w14:paraId="1C784B90" w14:textId="77777777" w:rsidR="00843222" w:rsidRDefault="00843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0CC941C-0B98-4B50-A3DA-9B2CDEFEE50B}"/>
    <w:embedItalic r:id="rId2" w:fontKey="{25BD3E87-12E0-4099-B0D6-203A2CFB4EC3}"/>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3593B9C1-5B05-49BB-8F01-201FAB7D3E8A}"/>
  </w:font>
  <w:font w:name="Calibri">
    <w:panose1 w:val="020F0502020204030204"/>
    <w:charset w:val="00"/>
    <w:family w:val="swiss"/>
    <w:pitch w:val="variable"/>
    <w:sig w:usb0="E4002EFF" w:usb1="C000247B" w:usb2="00000009" w:usb3="00000000" w:csb0="000001FF" w:csb1="00000000"/>
    <w:embedRegular r:id="rId4" w:fontKey="{20E617FB-9D29-45CE-8293-2CBFE2F2F873}"/>
  </w:font>
  <w:font w:name="Cambria">
    <w:panose1 w:val="02040503050406030204"/>
    <w:charset w:val="00"/>
    <w:family w:val="roman"/>
    <w:pitch w:val="variable"/>
    <w:sig w:usb0="E00006FF" w:usb1="420024FF" w:usb2="02000000" w:usb3="00000000" w:csb0="0000019F" w:csb1="00000000"/>
    <w:embedRegular r:id="rId5" w:fontKey="{519F68F7-9E4C-4215-94CB-E04D41E964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1E896" w14:textId="77777777" w:rsidR="00DF4FF0" w:rsidRPr="00CA13A7" w:rsidRDefault="00000000">
    <w:pPr>
      <w:widowControl w:val="0"/>
      <w:tabs>
        <w:tab w:val="left" w:pos="5537"/>
      </w:tabs>
      <w:spacing w:before="297"/>
      <w:ind w:left="112"/>
      <w:jc w:val="left"/>
      <w:rPr>
        <w:i/>
        <w:sz w:val="18"/>
        <w:szCs w:val="18"/>
        <w:lang w:val="pt-BR"/>
      </w:rPr>
    </w:pPr>
    <w:r w:rsidRPr="00CA13A7">
      <w:rPr>
        <w:i/>
        <w:sz w:val="18"/>
        <w:szCs w:val="18"/>
        <w:lang w:val="pt-BR"/>
      </w:rPr>
      <w:t xml:space="preserve">R4EM, v.6, n.1, p. 01-03, 2024.                                   </w:t>
    </w:r>
    <w:r w:rsidRPr="00CA13A7">
      <w:rPr>
        <w:sz w:val="18"/>
        <w:szCs w:val="18"/>
        <w:lang w:val="pt-BR"/>
      </w:rPr>
      <w:t xml:space="preserve">DOI: </w:t>
    </w:r>
    <w:r w:rsidRPr="00CA13A7">
      <w:rPr>
        <w:i/>
        <w:sz w:val="18"/>
        <w:szCs w:val="18"/>
        <w:lang w:val="pt-BR"/>
      </w:rPr>
      <w:t>(responsabilidade da equipe de editoração)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1E89B" w14:textId="77777777" w:rsidR="00DF4FF0" w:rsidRPr="00CA13A7" w:rsidRDefault="00000000">
    <w:pPr>
      <w:widowControl w:val="0"/>
      <w:pBdr>
        <w:top w:val="nil"/>
        <w:left w:val="nil"/>
        <w:bottom w:val="nil"/>
        <w:right w:val="nil"/>
        <w:between w:val="nil"/>
      </w:pBdr>
      <w:tabs>
        <w:tab w:val="left" w:pos="5537"/>
      </w:tabs>
      <w:spacing w:before="297"/>
      <w:ind w:left="112"/>
      <w:jc w:val="left"/>
      <w:rPr>
        <w:color w:val="000000"/>
        <w:sz w:val="18"/>
        <w:szCs w:val="18"/>
        <w:lang w:val="pt-BR"/>
      </w:rPr>
    </w:pPr>
    <w:r w:rsidRPr="00CA13A7">
      <w:rPr>
        <w:i/>
        <w:color w:val="000000"/>
        <w:sz w:val="18"/>
        <w:szCs w:val="18"/>
        <w:lang w:val="pt-BR"/>
      </w:rPr>
      <w:t>R4EM, v.</w:t>
    </w:r>
    <w:r w:rsidRPr="00CA13A7">
      <w:rPr>
        <w:i/>
        <w:sz w:val="18"/>
        <w:szCs w:val="18"/>
        <w:lang w:val="pt-BR"/>
      </w:rPr>
      <w:t>6</w:t>
    </w:r>
    <w:r w:rsidRPr="00CA13A7">
      <w:rPr>
        <w:i/>
        <w:color w:val="000000"/>
        <w:sz w:val="18"/>
        <w:szCs w:val="18"/>
        <w:lang w:val="pt-BR"/>
      </w:rPr>
      <w:t>, n</w:t>
    </w:r>
    <w:r w:rsidRPr="00CA13A7">
      <w:rPr>
        <w:i/>
        <w:sz w:val="18"/>
        <w:szCs w:val="18"/>
        <w:lang w:val="pt-BR"/>
      </w:rPr>
      <w:t>.1</w:t>
    </w:r>
    <w:r w:rsidRPr="00CA13A7">
      <w:rPr>
        <w:i/>
        <w:color w:val="000000"/>
        <w:sz w:val="18"/>
        <w:szCs w:val="18"/>
        <w:lang w:val="pt-BR"/>
      </w:rPr>
      <w:t>, p. 01-03, 202</w:t>
    </w:r>
    <w:r w:rsidRPr="00CA13A7">
      <w:rPr>
        <w:i/>
        <w:sz w:val="18"/>
        <w:szCs w:val="18"/>
        <w:lang w:val="pt-BR"/>
      </w:rPr>
      <w:t>4</w:t>
    </w:r>
    <w:r w:rsidRPr="00CA13A7">
      <w:rPr>
        <w:i/>
        <w:color w:val="000000"/>
        <w:sz w:val="18"/>
        <w:szCs w:val="18"/>
        <w:lang w:val="pt-BR"/>
      </w:rPr>
      <w:t xml:space="preserve">.                                   </w:t>
    </w:r>
    <w:r w:rsidRPr="00CA13A7">
      <w:rPr>
        <w:sz w:val="18"/>
        <w:szCs w:val="18"/>
        <w:lang w:val="pt-BR"/>
      </w:rPr>
      <w:t xml:space="preserve">DOI: </w:t>
    </w:r>
    <w:r w:rsidRPr="00CA13A7">
      <w:rPr>
        <w:i/>
        <w:sz w:val="18"/>
        <w:szCs w:val="18"/>
        <w:lang w:val="pt-BR"/>
      </w:rPr>
      <w:t>(responsabilidade da equipe de editoração)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5ABBA" w14:textId="77777777" w:rsidR="00843222" w:rsidRDefault="00843222">
      <w:r>
        <w:separator/>
      </w:r>
    </w:p>
  </w:footnote>
  <w:footnote w:type="continuationSeparator" w:id="0">
    <w:p w14:paraId="6006F621" w14:textId="77777777" w:rsidR="00843222" w:rsidRDefault="00843222">
      <w:r>
        <w:continuationSeparator/>
      </w:r>
    </w:p>
  </w:footnote>
  <w:footnote w:id="1">
    <w:p w14:paraId="2041E8A0" w14:textId="77777777" w:rsidR="00DF4FF0" w:rsidRPr="00CA13A7" w:rsidRDefault="00000000">
      <w:pPr>
        <w:rPr>
          <w:i/>
          <w:sz w:val="20"/>
          <w:szCs w:val="20"/>
          <w:lang w:val="pt-BR"/>
        </w:rPr>
      </w:pPr>
      <w:r>
        <w:rPr>
          <w:vertAlign w:val="superscript"/>
        </w:rPr>
        <w:footnoteRef/>
      </w:r>
      <w:r w:rsidRPr="00CA13A7">
        <w:rPr>
          <w:i/>
          <w:sz w:val="18"/>
          <w:szCs w:val="18"/>
          <w:lang w:val="pt-BR"/>
        </w:rPr>
        <w:t xml:space="preserve"> </w:t>
      </w:r>
      <w:r w:rsidRPr="00CA13A7">
        <w:rPr>
          <w:i/>
          <w:sz w:val="20"/>
          <w:szCs w:val="20"/>
          <w:lang w:val="pt-BR"/>
        </w:rPr>
        <w:t>A subseção “3.3.1. Projeto de Lei n° 725” teve como referência [12].</w:t>
      </w:r>
    </w:p>
  </w:footnote>
  <w:footnote w:id="2">
    <w:p w14:paraId="2041E8A1" w14:textId="77777777" w:rsidR="00DF4FF0" w:rsidRPr="00CA13A7" w:rsidRDefault="00000000">
      <w:pPr>
        <w:rPr>
          <w:sz w:val="20"/>
          <w:szCs w:val="20"/>
          <w:lang w:val="pt-BR"/>
        </w:rPr>
      </w:pPr>
      <w:r>
        <w:rPr>
          <w:vertAlign w:val="superscript"/>
        </w:rPr>
        <w:footnoteRef/>
      </w:r>
      <w:r w:rsidRPr="00CA13A7">
        <w:rPr>
          <w:i/>
          <w:sz w:val="20"/>
          <w:szCs w:val="20"/>
          <w:lang w:val="pt-BR"/>
        </w:rPr>
        <w:t xml:space="preserve"> A subseção “3.4.2. Plano de Trabalho Trienal - PNH2” teve como referência [15].</w:t>
      </w:r>
    </w:p>
  </w:footnote>
  <w:footnote w:id="3">
    <w:p w14:paraId="2041E8A2" w14:textId="77777777" w:rsidR="00DF4FF0" w:rsidRPr="00CA13A7" w:rsidRDefault="00000000">
      <w:pPr>
        <w:rPr>
          <w:i/>
          <w:sz w:val="20"/>
          <w:szCs w:val="20"/>
          <w:lang w:val="pt-BR"/>
        </w:rPr>
      </w:pPr>
      <w:r>
        <w:rPr>
          <w:vertAlign w:val="superscript"/>
        </w:rPr>
        <w:footnoteRef/>
      </w:r>
      <w:r w:rsidRPr="00CA13A7">
        <w:rPr>
          <w:sz w:val="20"/>
          <w:szCs w:val="20"/>
          <w:lang w:val="pt-BR"/>
        </w:rPr>
        <w:t xml:space="preserve"> </w:t>
      </w:r>
      <w:r w:rsidRPr="00CA13A7">
        <w:rPr>
          <w:i/>
          <w:sz w:val="18"/>
          <w:szCs w:val="18"/>
          <w:lang w:val="pt-BR"/>
        </w:rPr>
        <w:t>A subseção “</w:t>
      </w:r>
      <w:r w:rsidRPr="00CA13A7">
        <w:rPr>
          <w:i/>
          <w:sz w:val="20"/>
          <w:szCs w:val="20"/>
          <w:lang w:val="pt-BR"/>
        </w:rPr>
        <w:t>3.4.3. Projeto de Lei nº 2308 de 3 de maio de 2023” teve como referência [16].</w:t>
      </w:r>
    </w:p>
  </w:footnote>
  <w:footnote w:id="4">
    <w:p w14:paraId="2041E8A3" w14:textId="77777777" w:rsidR="00DF4FF0" w:rsidRPr="00CA13A7" w:rsidRDefault="00000000">
      <w:pPr>
        <w:rPr>
          <w:i/>
          <w:sz w:val="20"/>
          <w:szCs w:val="20"/>
          <w:lang w:val="pt-BR"/>
        </w:rPr>
      </w:pPr>
      <w:r>
        <w:rPr>
          <w:vertAlign w:val="superscript"/>
        </w:rPr>
        <w:footnoteRef/>
      </w:r>
      <w:r w:rsidRPr="00CA13A7">
        <w:rPr>
          <w:sz w:val="20"/>
          <w:szCs w:val="20"/>
          <w:lang w:val="pt-BR"/>
        </w:rPr>
        <w:t xml:space="preserve"> </w:t>
      </w:r>
      <w:r w:rsidRPr="00CA13A7">
        <w:rPr>
          <w:i/>
          <w:sz w:val="20"/>
          <w:szCs w:val="20"/>
          <w:lang w:val="pt-BR"/>
        </w:rPr>
        <w:t>A subseção “3.5.1. Lei nº 14.948, de 2 de agosto de 2024” teve como referência [17].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1E894" w14:textId="77777777" w:rsidR="00DF4FF0" w:rsidRDefault="00DF4FF0">
    <w:pPr>
      <w:pBdr>
        <w:top w:val="nil"/>
        <w:left w:val="nil"/>
        <w:bottom w:val="none" w:sz="0" w:space="0" w:color="000000"/>
        <w:right w:val="nil"/>
        <w:between w:val="nil"/>
      </w:pBdr>
      <w:tabs>
        <w:tab w:val="center" w:pos="4153"/>
        <w:tab w:val="right" w:pos="8306"/>
      </w:tabs>
      <w:jc w:val="center"/>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1E895" w14:textId="6832115E" w:rsidR="00DF4FF0" w:rsidRDefault="00000000">
    <w:pPr>
      <w:tabs>
        <w:tab w:val="right" w:pos="8844"/>
      </w:tabs>
      <w:spacing w:after="240"/>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ab/>
    </w:r>
    <w:r>
      <w:rPr>
        <w:sz w:val="18"/>
        <w:szCs w:val="18"/>
      </w:rPr>
      <w:fldChar w:fldCharType="begin"/>
    </w:r>
    <w:r>
      <w:rPr>
        <w:sz w:val="18"/>
        <w:szCs w:val="18"/>
      </w:rPr>
      <w:instrText>PAGE</w:instrText>
    </w:r>
    <w:r>
      <w:rPr>
        <w:sz w:val="18"/>
        <w:szCs w:val="18"/>
      </w:rPr>
      <w:fldChar w:fldCharType="separate"/>
    </w:r>
    <w:r w:rsidR="00222298">
      <w:rPr>
        <w:noProof/>
        <w:sz w:val="18"/>
        <w:szCs w:val="18"/>
      </w:rPr>
      <w:t>2</w:t>
    </w:r>
    <w:r>
      <w:rPr>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1E897" w14:textId="77777777" w:rsidR="00DF4FF0" w:rsidRDefault="00000000">
    <w:pPr>
      <w:spacing w:line="276" w:lineRule="auto"/>
      <w:rPr>
        <w:sz w:val="18"/>
        <w:szCs w:val="18"/>
      </w:rPr>
    </w:pPr>
    <w:r>
      <w:rPr>
        <w:i/>
        <w:noProof/>
      </w:rPr>
      <w:drawing>
        <wp:anchor distT="0" distB="0" distL="114300" distR="114300" simplePos="0" relativeHeight="251658240" behindDoc="0" locked="0" layoutInCell="1" hidden="0" allowOverlap="1" wp14:anchorId="2041E89C" wp14:editId="2041E89D">
          <wp:simplePos x="0" y="0"/>
          <wp:positionH relativeFrom="margin">
            <wp:posOffset>0</wp:posOffset>
          </wp:positionH>
          <wp:positionV relativeFrom="margin">
            <wp:posOffset>-521624</wp:posOffset>
          </wp:positionV>
          <wp:extent cx="580736" cy="580736"/>
          <wp:effectExtent l="0" t="0" r="0" b="0"/>
          <wp:wrapSquare wrapText="bothSides" distT="0" distB="0" distL="114300" distR="114300"/>
          <wp:docPr id="2" name="image2.jpg" descr="Logo do cabeÃ§alho da pÃ¡gina"/>
          <wp:cNvGraphicFramePr/>
          <a:graphic xmlns:a="http://schemas.openxmlformats.org/drawingml/2006/main">
            <a:graphicData uri="http://schemas.openxmlformats.org/drawingml/2006/picture">
              <pic:pic xmlns:pic="http://schemas.openxmlformats.org/drawingml/2006/picture">
                <pic:nvPicPr>
                  <pic:cNvPr id="0" name="image2.jpg" descr="Logo do cabeÃ§alho da pÃ¡gina"/>
                  <pic:cNvPicPr preferRelativeResize="0"/>
                </pic:nvPicPr>
                <pic:blipFill>
                  <a:blip r:embed="rId1"/>
                  <a:srcRect/>
                  <a:stretch>
                    <a:fillRect/>
                  </a:stretch>
                </pic:blipFill>
                <pic:spPr>
                  <a:xfrm>
                    <a:off x="0" y="0"/>
                    <a:ext cx="580736" cy="580736"/>
                  </a:xfrm>
                  <a:prstGeom prst="rect">
                    <a:avLst/>
                  </a:prstGeom>
                  <a:ln/>
                </pic:spPr>
              </pic:pic>
            </a:graphicData>
          </a:graphic>
        </wp:anchor>
      </w:drawing>
    </w:r>
    <w:r>
      <w:rPr>
        <w:i/>
        <w:noProof/>
      </w:rPr>
      <w:drawing>
        <wp:anchor distT="0" distB="0" distL="0" distR="0" simplePos="0" relativeHeight="251659264" behindDoc="1" locked="0" layoutInCell="1" hidden="0" allowOverlap="1" wp14:anchorId="2041E89E" wp14:editId="2041E89F">
          <wp:simplePos x="0" y="0"/>
          <wp:positionH relativeFrom="margin">
            <wp:align>right</wp:align>
          </wp:positionH>
          <wp:positionV relativeFrom="page">
            <wp:posOffset>590551</wp:posOffset>
          </wp:positionV>
          <wp:extent cx="1240979" cy="6286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40979" cy="628650"/>
                  </a:xfrm>
                  <a:prstGeom prst="rect">
                    <a:avLst/>
                  </a:prstGeom>
                  <a:ln/>
                </pic:spPr>
              </pic:pic>
            </a:graphicData>
          </a:graphic>
        </wp:anchor>
      </w:drawing>
    </w:r>
  </w:p>
  <w:p w14:paraId="2041E898" w14:textId="77777777" w:rsidR="00DF4FF0" w:rsidRPr="00CA13A7" w:rsidRDefault="00000000">
    <w:pPr>
      <w:tabs>
        <w:tab w:val="right" w:pos="7750"/>
      </w:tabs>
      <w:spacing w:line="276" w:lineRule="auto"/>
      <w:ind w:left="1133"/>
      <w:rPr>
        <w:sz w:val="18"/>
        <w:szCs w:val="18"/>
        <w:lang w:val="pt-BR"/>
      </w:rPr>
    </w:pPr>
    <w:r w:rsidRPr="00CA13A7">
      <w:rPr>
        <w:sz w:val="18"/>
        <w:szCs w:val="18"/>
        <w:lang w:val="pt-BR"/>
      </w:rPr>
      <w:t xml:space="preserve"> Universidade Federal Rural do Semi-árido</w:t>
    </w:r>
    <w:r w:rsidRPr="00CA13A7">
      <w:rPr>
        <w:sz w:val="18"/>
        <w:szCs w:val="18"/>
        <w:lang w:val="pt-BR"/>
      </w:rPr>
      <w:tab/>
    </w:r>
    <w:r w:rsidRPr="00CA13A7">
      <w:rPr>
        <w:sz w:val="18"/>
        <w:szCs w:val="18"/>
        <w:lang w:val="pt-BR"/>
      </w:rPr>
      <w:tab/>
    </w:r>
    <w:r w:rsidRPr="00CA13A7">
      <w:rPr>
        <w:sz w:val="18"/>
        <w:szCs w:val="18"/>
        <w:lang w:val="pt-BR"/>
      </w:rPr>
      <w:tab/>
    </w:r>
  </w:p>
  <w:p w14:paraId="2041E899" w14:textId="77777777" w:rsidR="00DF4FF0" w:rsidRPr="00CA13A7" w:rsidRDefault="00000000">
    <w:pPr>
      <w:tabs>
        <w:tab w:val="left" w:pos="6990"/>
      </w:tabs>
      <w:spacing w:line="276" w:lineRule="auto"/>
      <w:ind w:left="1077"/>
      <w:rPr>
        <w:sz w:val="18"/>
        <w:szCs w:val="18"/>
        <w:lang w:val="pt-BR"/>
      </w:rPr>
    </w:pPr>
    <w:r w:rsidRPr="00CA13A7">
      <w:rPr>
        <w:sz w:val="18"/>
        <w:szCs w:val="18"/>
        <w:lang w:val="pt-BR"/>
      </w:rPr>
      <w:t xml:space="preserve"> Revista Eletrônica de Engenharia Elétrica e Engenharia Mecânica</w:t>
    </w:r>
  </w:p>
  <w:p w14:paraId="2041E89A" w14:textId="77777777" w:rsidR="00DF4FF0" w:rsidRPr="00CA13A7" w:rsidRDefault="00000000">
    <w:pPr>
      <w:tabs>
        <w:tab w:val="left" w:pos="6990"/>
      </w:tabs>
      <w:spacing w:line="276" w:lineRule="auto"/>
      <w:ind w:left="1077"/>
      <w:rPr>
        <w:sz w:val="18"/>
        <w:szCs w:val="18"/>
        <w:lang w:val="pt-BR"/>
      </w:rPr>
    </w:pPr>
    <w:r w:rsidRPr="00CA13A7">
      <w:rPr>
        <w:sz w:val="18"/>
        <w:szCs w:val="18"/>
        <w:lang w:val="pt-BR"/>
      </w:rPr>
      <w:t xml:space="preserve"> ISSN 2763-5325 | DOI: </w:t>
    </w:r>
    <w:hyperlink r:id="rId3">
      <w:r w:rsidR="00DF4FF0" w:rsidRPr="00CA13A7">
        <w:rPr>
          <w:color w:val="3367D6"/>
          <w:sz w:val="18"/>
          <w:szCs w:val="18"/>
          <w:highlight w:val="white"/>
          <w:u w:val="single"/>
          <w:lang w:val="pt-BR"/>
        </w:rPr>
        <w:t>https://doi.org/10.21708/issn27635325</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5E1D64"/>
    <w:multiLevelType w:val="multilevel"/>
    <w:tmpl w:val="9B709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5E50A2C"/>
    <w:multiLevelType w:val="multilevel"/>
    <w:tmpl w:val="FC4EF3EC"/>
    <w:lvl w:ilvl="0">
      <w:start w:val="1"/>
      <w:numFmt w:val="decimal"/>
      <w:lvlText w:val="[%1]"/>
      <w:lvlJc w:val="left"/>
      <w:pPr>
        <w:ind w:left="420" w:hanging="4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435102465">
    <w:abstractNumId w:val="0"/>
  </w:num>
  <w:num w:numId="2" w16cid:durableId="1371150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FF0"/>
    <w:rsid w:val="000E2EE1"/>
    <w:rsid w:val="001E71BD"/>
    <w:rsid w:val="00222298"/>
    <w:rsid w:val="007C5356"/>
    <w:rsid w:val="00843222"/>
    <w:rsid w:val="00850880"/>
    <w:rsid w:val="00A112AE"/>
    <w:rsid w:val="00A65CAE"/>
    <w:rsid w:val="00CA13A7"/>
    <w:rsid w:val="00DF4FF0"/>
    <w:rsid w:val="00F07F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1E79A"/>
  <w15:docId w15:val="{515AF549-76CD-45D7-BB7D-B9E3F2D4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pe.gov.br/sites-pt/publicacoes-dados-abertos/publicacoes/PublicacoesArquivos/publicacao-569/Hidroge%CC%82nio_23Fev2021NT%20(2).pdf"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mirelli.silva@alunos.ufersa.edu.br" TargetMode="External"/><Relationship Id="rId12" Type="http://schemas.openxmlformats.org/officeDocument/2006/relationships/hyperlink" Target="https://www.gov.br/mme/pt-br/assuntos/conselhos-e-comites/cnpe/resolucoes-do-cnpe/arquivos/2021/resolucao-2-cnpe.pdf"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br/mcti/pt-br/acompanhe-o-mcti/sirene/publicacoes/acordo-de-paris-e-ndc/arquivos/pdf/acordo_paris.pdf"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hyperlink" Target="https://doi.org/10.21708/issn27635325" TargetMode="External"/><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6671</Words>
  <Characters>36028</Characters>
  <Application>Microsoft Office Word</Application>
  <DocSecurity>0</DocSecurity>
  <Lines>300</Lines>
  <Paragraphs>85</Paragraphs>
  <ScaleCrop>false</ScaleCrop>
  <Company/>
  <LinksUpToDate>false</LinksUpToDate>
  <CharactersWithSpaces>42614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Milton Oliveira</cp:lastModifiedBy>
  <cp:revision>7</cp:revision>
  <dcterms:created xsi:type="dcterms:W3CDTF">2025-02-21T12:37:00Z</dcterms:created>
  <dcterms:modified xsi:type="dcterms:W3CDTF">2025-02-21T14:12:00Z</dcterms:modified>
</cp:coreProperties>
</file>